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18B9E" w14:textId="77957EB3" w:rsidR="001B426C" w:rsidRPr="00730000" w:rsidRDefault="001B426C" w:rsidP="001B426C">
      <w:pPr>
        <w:spacing w:after="6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049"/>
        <w:gridCol w:w="7005"/>
      </w:tblGrid>
      <w:tr w:rsidR="00730000" w:rsidRPr="00730000" w14:paraId="07300E04" w14:textId="77777777" w:rsidTr="004F0CA5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4603467C" w14:textId="77777777" w:rsidR="00D654B7" w:rsidRPr="00730000" w:rsidRDefault="00D654B7" w:rsidP="00D654B7">
            <w:pPr>
              <w:spacing w:before="60" w:after="60"/>
              <w:jc w:val="both"/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</w:pPr>
          </w:p>
          <w:p w14:paraId="46762987" w14:textId="06B3E7AE" w:rsidR="00D654B7" w:rsidRPr="00730000" w:rsidRDefault="00D654B7" w:rsidP="00D654B7">
            <w:pPr>
              <w:spacing w:before="60" w:after="60"/>
              <w:jc w:val="both"/>
              <w:rPr>
                <w:rFonts w:ascii="Trebuchet MS" w:hAnsi="Trebuchet MS" w:cstheme="minorHAnsi"/>
                <w:color w:val="FFFFFF" w:themeColor="background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  <w:t>Codul intervenției</w:t>
            </w:r>
          </w:p>
        </w:tc>
        <w:tc>
          <w:tcPr>
            <w:tcW w:w="7005" w:type="dxa"/>
            <w:tcBorders>
              <w:top w:val="nil"/>
              <w:left w:val="nil"/>
              <w:bottom w:val="nil"/>
              <w:right w:val="nil"/>
            </w:tcBorders>
          </w:tcPr>
          <w:p w14:paraId="3E240712" w14:textId="0CE1F57C" w:rsidR="00D654B7" w:rsidRPr="00730000" w:rsidRDefault="00D654B7" w:rsidP="00D654B7">
            <w:pPr>
              <w:spacing w:before="60" w:after="60"/>
              <w:jc w:val="both"/>
              <w:rPr>
                <w:rFonts w:ascii="Trebuchet MS" w:hAnsi="Trebuchet MS" w:cstheme="minorHAnsi"/>
                <w:color w:val="FFFFFF" w:themeColor="background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  <w:t xml:space="preserve"> </w:t>
            </w:r>
            <w:r w:rsidRPr="00730000">
              <w:rPr>
                <w:rFonts w:ascii="Trebuchet MS" w:hAnsi="Trebuchet MS"/>
                <w:i/>
                <w:color w:val="FFFFFF" w:themeColor="background1"/>
                <w:sz w:val="22"/>
                <w:szCs w:val="22"/>
                <w:lang w:val="ro-RO"/>
              </w:rPr>
              <w:t>Codi</w:t>
            </w:r>
            <w:r w:rsidR="00A364A4" w:rsidRPr="00730000">
              <w:rPr>
                <w:rFonts w:ascii="Trebuchet MS" w:hAnsi="Trebuchet MS"/>
                <w:i/>
                <w:color w:val="FFFFFF" w:themeColor="background1"/>
                <w:sz w:val="22"/>
                <w:szCs w:val="22"/>
                <w:lang w:val="ro-RO"/>
              </w:rPr>
              <w:t xml:space="preserve">ficare manuală </w:t>
            </w:r>
          </w:p>
        </w:tc>
      </w:tr>
      <w:tr w:rsidR="00730000" w:rsidRPr="00730000" w14:paraId="41114F26" w14:textId="77777777" w:rsidTr="004F0CA5"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41E29" w14:textId="77777777" w:rsidR="00D654B7" w:rsidRPr="00730000" w:rsidRDefault="00D654B7" w:rsidP="00D654B7">
            <w:pPr>
              <w:spacing w:before="60" w:after="60"/>
              <w:jc w:val="both"/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</w:pPr>
          </w:p>
          <w:p w14:paraId="59966613" w14:textId="26E5C9B0" w:rsidR="00D654B7" w:rsidRPr="00730000" w:rsidRDefault="00D654B7" w:rsidP="00D654B7">
            <w:pPr>
              <w:spacing w:before="60" w:after="60"/>
              <w:jc w:val="both"/>
              <w:rPr>
                <w:rFonts w:ascii="Trebuchet MS" w:hAnsi="Trebuchet MS" w:cstheme="minorHAnsi"/>
                <w:color w:val="FFFFFF" w:themeColor="background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  <w:t>Codul bugetului intervenției</w:t>
            </w:r>
          </w:p>
        </w:tc>
        <w:tc>
          <w:tcPr>
            <w:tcW w:w="7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D0B3" w14:textId="6D2C9DF4" w:rsidR="00D654B7" w:rsidRPr="00730000" w:rsidRDefault="00D654B7" w:rsidP="00D654B7">
            <w:pPr>
              <w:spacing w:before="6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Pr="00730000">
              <w:rPr>
                <w:rFonts w:ascii="Trebuchet MS" w:hAnsi="Trebuchet MS"/>
                <w:i/>
                <w:color w:val="FFFFFF" w:themeColor="background1"/>
                <w:sz w:val="22"/>
                <w:szCs w:val="22"/>
                <w:lang w:val="ro-RO"/>
              </w:rPr>
              <w:t>Cod generat de sistem</w:t>
            </w:r>
          </w:p>
        </w:tc>
      </w:tr>
      <w:tr w:rsidR="00730000" w:rsidRPr="00730000" w14:paraId="390DB74D" w14:textId="77777777" w:rsidTr="00104F23">
        <w:tc>
          <w:tcPr>
            <w:tcW w:w="3049" w:type="dxa"/>
            <w:tcBorders>
              <w:top w:val="single" w:sz="4" w:space="0" w:color="auto"/>
            </w:tcBorders>
          </w:tcPr>
          <w:p w14:paraId="501642D7" w14:textId="79871428" w:rsidR="00CE66CC" w:rsidRPr="00730000" w:rsidRDefault="00CE66CC" w:rsidP="00CE66CC">
            <w:pPr>
              <w:spacing w:before="6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Denumirea intervenției</w:t>
            </w:r>
          </w:p>
        </w:tc>
        <w:tc>
          <w:tcPr>
            <w:tcW w:w="7005" w:type="dxa"/>
            <w:tcBorders>
              <w:top w:val="single" w:sz="4" w:space="0" w:color="auto"/>
            </w:tcBorders>
            <w:vAlign w:val="center"/>
          </w:tcPr>
          <w:p w14:paraId="7C50981C" w14:textId="77777777" w:rsidR="00CE66CC" w:rsidRPr="00730000" w:rsidRDefault="004F0CA5" w:rsidP="00104F23">
            <w:pPr>
              <w:spacing w:before="60" w:after="60"/>
              <w:jc w:val="center"/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</w:pPr>
            <w:r w:rsidRPr="00730000"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  <w:t>Contribuții</w:t>
            </w:r>
            <w:r w:rsidR="00A364A4" w:rsidRPr="00730000"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  <w:t xml:space="preserve"> financiare la plata primelor de asigurare</w:t>
            </w:r>
          </w:p>
          <w:p w14:paraId="010F0A60" w14:textId="47633454" w:rsidR="00104F23" w:rsidRPr="00730000" w:rsidRDefault="00104F23" w:rsidP="00104F23">
            <w:pPr>
              <w:spacing w:before="60" w:after="60"/>
              <w:jc w:val="center"/>
              <w:rPr>
                <w:rFonts w:ascii="Trebuchet MS" w:eastAsia="Arial" w:hAnsi="Trebuchet MS"/>
                <w:b/>
                <w:color w:val="000000" w:themeColor="text1"/>
                <w:sz w:val="22"/>
                <w:szCs w:val="22"/>
              </w:rPr>
            </w:pPr>
          </w:p>
        </w:tc>
      </w:tr>
      <w:tr w:rsidR="00730000" w:rsidRPr="00730000" w14:paraId="29318EBC" w14:textId="77777777" w:rsidTr="00D654B7">
        <w:tc>
          <w:tcPr>
            <w:tcW w:w="3049" w:type="dxa"/>
          </w:tcPr>
          <w:p w14:paraId="535F5A6D" w14:textId="77777777" w:rsidR="00CE66CC" w:rsidRPr="00730000" w:rsidRDefault="00CE66CC" w:rsidP="00CE66CC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  <w:p w14:paraId="5E3DE82D" w14:textId="0C1CE290" w:rsidR="00CE66CC" w:rsidRPr="00730000" w:rsidRDefault="00CE66CC" w:rsidP="00CE66CC">
            <w:pPr>
              <w:spacing w:before="6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Tipul de intervenție</w:t>
            </w:r>
          </w:p>
        </w:tc>
        <w:tc>
          <w:tcPr>
            <w:tcW w:w="7005" w:type="dxa"/>
          </w:tcPr>
          <w:p w14:paraId="0800FE89" w14:textId="46C0D448" w:rsidR="00CE66CC" w:rsidRPr="00730000" w:rsidRDefault="00A364A4" w:rsidP="00CE66CC">
            <w:pPr>
              <w:spacing w:before="6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Instrumente de gestionare a riscului (articolul 76</w:t>
            </w:r>
            <w:r w:rsidR="00CE66CC"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 din </w:t>
            </w:r>
            <w:r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R</w:t>
            </w:r>
            <w:r w:rsidR="00CE66CC"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egulament</w:t>
            </w:r>
            <w:r w:rsidR="007644D9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ul UE nr. 2115/2022</w:t>
            </w:r>
            <w:r w:rsidR="00CE66CC"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 privind planurile strategice PAC)</w:t>
            </w:r>
          </w:p>
        </w:tc>
      </w:tr>
      <w:tr w:rsidR="00730000" w:rsidRPr="00730000" w14:paraId="05397A80" w14:textId="77777777" w:rsidTr="00D654B7">
        <w:tc>
          <w:tcPr>
            <w:tcW w:w="3049" w:type="dxa"/>
          </w:tcPr>
          <w:p w14:paraId="72258402" w14:textId="77777777" w:rsidR="00CE66CC" w:rsidRPr="00730000" w:rsidRDefault="00CE66CC" w:rsidP="00CE66CC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  <w:p w14:paraId="6D3D8847" w14:textId="24463385" w:rsidR="00CE66CC" w:rsidRPr="00730000" w:rsidRDefault="00CE66CC" w:rsidP="00CE66CC">
            <w:pPr>
              <w:spacing w:before="6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Indicator de realizare</w:t>
            </w:r>
          </w:p>
        </w:tc>
        <w:tc>
          <w:tcPr>
            <w:tcW w:w="7005" w:type="dxa"/>
          </w:tcPr>
          <w:p w14:paraId="1DB35E68" w14:textId="6E8228EA" w:rsidR="00CE66CC" w:rsidRPr="00730000" w:rsidRDefault="000C34D0" w:rsidP="00DB3C56">
            <w:pPr>
              <w:pageBreakBefore/>
              <w:spacing w:before="5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O 9 Număr de </w:t>
            </w:r>
            <w:r w:rsidR="004F0CA5"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unități</w:t>
            </w:r>
            <w:r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 acoperite de instrumente de gestionare a riscurilor</w:t>
            </w:r>
            <w:r w:rsidR="00DB3C56"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 care beneficiază de sprijin în cadrul PAC</w:t>
            </w:r>
          </w:p>
        </w:tc>
      </w:tr>
      <w:tr w:rsidR="00730000" w:rsidRPr="00730000" w14:paraId="4358A737" w14:textId="77777777" w:rsidTr="0042073B">
        <w:trPr>
          <w:trHeight w:val="1238"/>
        </w:trPr>
        <w:tc>
          <w:tcPr>
            <w:tcW w:w="3049" w:type="dxa"/>
          </w:tcPr>
          <w:p w14:paraId="34333348" w14:textId="77777777" w:rsidR="00CE66CC" w:rsidRPr="00730000" w:rsidRDefault="00CE66CC" w:rsidP="00CE66CC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Contribuția la intervențiile cu alocare obligatorie</w:t>
            </w:r>
          </w:p>
          <w:p w14:paraId="4090AD4B" w14:textId="77777777" w:rsidR="00CE66CC" w:rsidRPr="00730000" w:rsidRDefault="00CE66CC" w:rsidP="00CE66CC">
            <w:pPr>
              <w:spacing w:before="60" w:after="60"/>
              <w:ind w:left="720"/>
              <w:contextualSpacing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7005" w:type="dxa"/>
          </w:tcPr>
          <w:p w14:paraId="5F903391" w14:textId="77777777" w:rsidR="00CE66CC" w:rsidRPr="00730000" w:rsidRDefault="00CE66CC" w:rsidP="00CE66CC">
            <w:pPr>
              <w:spacing w:before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  <w:p w14:paraId="3A173AC3" w14:textId="514A445F" w:rsidR="00CE66CC" w:rsidRPr="00730000" w:rsidRDefault="00CE66CC" w:rsidP="0005178E">
            <w:pPr>
              <w:pStyle w:val="ListParagraph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Reînnoirea generațiilor  </w:t>
            </w:r>
            <w:r w:rsidRPr="00730000">
              <w:rPr>
                <w:rFonts w:ascii="Arial" w:hAnsi="Arial" w:cs="Arial"/>
                <w:color w:val="000000" w:themeColor="text1"/>
                <w:sz w:val="22"/>
                <w:szCs w:val="22"/>
                <w:lang w:val="ro-RO"/>
              </w:rPr>
              <w:t>○</w:t>
            </w:r>
            <w:r w:rsidR="00A364A4"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Da </w:t>
            </w:r>
            <w:r w:rsidRPr="00730000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X  Nu</w:t>
            </w:r>
          </w:p>
          <w:p w14:paraId="283612B3" w14:textId="6AF3485F" w:rsidR="00CE66CC" w:rsidRPr="00730000" w:rsidRDefault="00CE66CC" w:rsidP="0005178E">
            <w:pPr>
              <w:pStyle w:val="ListParagraph"/>
              <w:numPr>
                <w:ilvl w:val="0"/>
                <w:numId w:val="4"/>
              </w:num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Mediu </w:t>
            </w:r>
            <w:r w:rsidRPr="00730000">
              <w:rPr>
                <w:rFonts w:ascii="Arial" w:hAnsi="Arial" w:cs="Arial"/>
                <w:color w:val="000000" w:themeColor="text1"/>
                <w:sz w:val="22"/>
                <w:szCs w:val="22"/>
                <w:lang w:val="ro-RO"/>
              </w:rPr>
              <w:t>○</w:t>
            </w: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Da </w:t>
            </w:r>
            <w:r w:rsidRPr="00730000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X  Nu</w:t>
            </w:r>
          </w:p>
          <w:p w14:paraId="3D7817EC" w14:textId="77777777" w:rsidR="00CE66CC" w:rsidRPr="00730000" w:rsidRDefault="00CE66CC" w:rsidP="0005178E">
            <w:pPr>
              <w:pStyle w:val="ListParagraph"/>
              <w:numPr>
                <w:ilvl w:val="0"/>
                <w:numId w:val="4"/>
              </w:num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LEADER </w:t>
            </w:r>
            <w:r w:rsidRPr="00730000">
              <w:rPr>
                <w:rFonts w:ascii="Arial" w:hAnsi="Arial" w:cs="Arial"/>
                <w:color w:val="000000" w:themeColor="text1"/>
                <w:sz w:val="22"/>
                <w:szCs w:val="22"/>
                <w:lang w:val="ro-RO"/>
              </w:rPr>
              <w:t>○</w:t>
            </w: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Da </w:t>
            </w:r>
            <w:r w:rsidRPr="00730000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X  Nu</w:t>
            </w:r>
          </w:p>
          <w:p w14:paraId="1F6A129C" w14:textId="77777777" w:rsidR="00CE66CC" w:rsidRPr="00730000" w:rsidRDefault="00CE66CC" w:rsidP="00CE66CC">
            <w:pPr>
              <w:spacing w:before="2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637B07" w:rsidRPr="00730000" w14:paraId="26B6C5BC" w14:textId="77777777" w:rsidTr="00D654B7">
        <w:tc>
          <w:tcPr>
            <w:tcW w:w="3049" w:type="dxa"/>
          </w:tcPr>
          <w:p w14:paraId="4C145BF4" w14:textId="77777777" w:rsidR="00CE66CC" w:rsidRPr="00730000" w:rsidRDefault="00CE66CC" w:rsidP="00CE66CC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Intervenția include plăți tranzitorii din PNDR 2014-2022</w:t>
            </w:r>
          </w:p>
          <w:p w14:paraId="3B13B9D4" w14:textId="2B433350" w:rsidR="00CE66CC" w:rsidRPr="00730000" w:rsidRDefault="00CE66CC" w:rsidP="00CE66CC">
            <w:pPr>
              <w:spacing w:before="6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7005" w:type="dxa"/>
          </w:tcPr>
          <w:p w14:paraId="69DBD82A" w14:textId="77777777" w:rsidR="00CE66CC" w:rsidRPr="00730000" w:rsidRDefault="00CE66CC" w:rsidP="0005178E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Da, în totalitate</w:t>
            </w:r>
          </w:p>
          <w:p w14:paraId="3200C423" w14:textId="32F3DD85" w:rsidR="00CE66CC" w:rsidRPr="00730000" w:rsidRDefault="00CE66CC" w:rsidP="0005178E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Da,</w:t>
            </w:r>
            <w:r w:rsidR="00EE7F98"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Pr="00730000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parțial</w:t>
            </w:r>
          </w:p>
          <w:p w14:paraId="4D148172" w14:textId="4C824DD4" w:rsidR="00CE66CC" w:rsidRPr="00730000" w:rsidRDefault="00A364A4" w:rsidP="00A364A4">
            <w:pPr>
              <w:spacing w:before="60" w:after="60"/>
              <w:ind w:left="360"/>
              <w:contextualSpacing/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 xml:space="preserve">X    </w:t>
            </w:r>
            <w:r w:rsidR="00CE66CC" w:rsidRPr="00730000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Nu</w:t>
            </w:r>
          </w:p>
        </w:tc>
      </w:tr>
    </w:tbl>
    <w:p w14:paraId="4CCC9689" w14:textId="77777777" w:rsidR="001B426C" w:rsidRPr="00730000" w:rsidRDefault="001B426C" w:rsidP="001B426C">
      <w:pPr>
        <w:spacing w:after="0" w:line="240" w:lineRule="auto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</w:p>
    <w:p w14:paraId="36FFEE5B" w14:textId="77777777" w:rsidR="00CE66CC" w:rsidRPr="00730000" w:rsidRDefault="00CE66CC" w:rsidP="0005178E">
      <w:pPr>
        <w:pStyle w:val="ListParagraph"/>
        <w:keepNext/>
        <w:numPr>
          <w:ilvl w:val="2"/>
          <w:numId w:val="8"/>
        </w:numPr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</w:pPr>
      <w:bookmarkStart w:id="0" w:name="_Toc72429692"/>
      <w:bookmarkStart w:id="1" w:name="_Toc72513888"/>
      <w:bookmarkStart w:id="2" w:name="_Toc72514394"/>
      <w:bookmarkStart w:id="3" w:name="_Toc72935167"/>
      <w:bookmarkStart w:id="4" w:name="_Toc77173500"/>
      <w:bookmarkStart w:id="5" w:name="_Toc77675094"/>
      <w:bookmarkStart w:id="6" w:name="_Toc78293394"/>
      <w:bookmarkStart w:id="7" w:name="_Toc78296337"/>
      <w:bookmarkStart w:id="8" w:name="_Toc78379342"/>
      <w:bookmarkStart w:id="9" w:name="_Toc78384994"/>
      <w:bookmarkStart w:id="10" w:name="_Toc78389854"/>
      <w:bookmarkStart w:id="11" w:name="_Toc81568689"/>
      <w:bookmarkStart w:id="12" w:name="_Toc81569477"/>
      <w:bookmarkStart w:id="13" w:name="_Toc81572462"/>
      <w:bookmarkEnd w:id="0"/>
      <w:bookmarkEnd w:id="1"/>
      <w:bookmarkEnd w:id="2"/>
      <w:bookmarkEnd w:id="3"/>
      <w:r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Rata contribuției FEADR aplicabilă intervenției </w:t>
      </w:r>
    </w:p>
    <w:p w14:paraId="2DF5BF3B" w14:textId="14BEC029" w:rsidR="001B426C" w:rsidRPr="00730000" w:rsidRDefault="001B426C" w:rsidP="00CE66CC">
      <w:pPr>
        <w:spacing w:after="12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</w:p>
    <w:tbl>
      <w:tblPr>
        <w:tblpPr w:leftFromText="141" w:rightFromText="141" w:vertAnchor="text" w:horzAnchor="margin" w:tblpY="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2"/>
        <w:gridCol w:w="4182"/>
        <w:gridCol w:w="1140"/>
        <w:gridCol w:w="1277"/>
        <w:gridCol w:w="1134"/>
        <w:gridCol w:w="1128"/>
      </w:tblGrid>
      <w:tr w:rsidR="00730000" w:rsidRPr="00730000" w14:paraId="791F1A66" w14:textId="77777777" w:rsidTr="000E0044">
        <w:tc>
          <w:tcPr>
            <w:tcW w:w="593" w:type="pct"/>
          </w:tcPr>
          <w:p w14:paraId="00470EA5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>Aplicabilitate</w:t>
            </w: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 </w:t>
            </w:r>
          </w:p>
        </w:tc>
        <w:tc>
          <w:tcPr>
            <w:tcW w:w="2080" w:type="pct"/>
            <w:shd w:val="clear" w:color="auto" w:fill="auto"/>
          </w:tcPr>
          <w:p w14:paraId="410977E1" w14:textId="77777777" w:rsidR="00CE66CC" w:rsidRPr="00730000" w:rsidRDefault="00CE66CC" w:rsidP="000E0044">
            <w:pPr>
              <w:spacing w:before="20" w:after="20" w:line="240" w:lineRule="auto"/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>Descriere</w:t>
            </w:r>
          </w:p>
        </w:tc>
        <w:tc>
          <w:tcPr>
            <w:tcW w:w="567" w:type="pct"/>
            <w:shd w:val="clear" w:color="auto" w:fill="auto"/>
          </w:tcPr>
          <w:p w14:paraId="2348C576" w14:textId="77777777" w:rsidR="00CE66CC" w:rsidRPr="00730000" w:rsidRDefault="00CE66CC" w:rsidP="000E0044">
            <w:pPr>
              <w:spacing w:before="20" w:after="20" w:line="240" w:lineRule="auto"/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>Bază legală</w:t>
            </w:r>
          </w:p>
        </w:tc>
        <w:tc>
          <w:tcPr>
            <w:tcW w:w="635" w:type="pct"/>
          </w:tcPr>
          <w:p w14:paraId="39CC161C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 xml:space="preserve">Ratei contribuției FEADR </w:t>
            </w:r>
          </w:p>
        </w:tc>
        <w:tc>
          <w:tcPr>
            <w:tcW w:w="564" w:type="pct"/>
            <w:shd w:val="clear" w:color="auto" w:fill="auto"/>
          </w:tcPr>
          <w:p w14:paraId="65790CA2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>Rata minimă</w:t>
            </w:r>
          </w:p>
        </w:tc>
        <w:tc>
          <w:tcPr>
            <w:tcW w:w="561" w:type="pct"/>
            <w:shd w:val="clear" w:color="auto" w:fill="auto"/>
          </w:tcPr>
          <w:p w14:paraId="6FE6823C" w14:textId="6F70FE78" w:rsidR="00CE66CC" w:rsidRPr="00730000" w:rsidRDefault="00CE66CC" w:rsidP="000C34D0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 xml:space="preserve">Rata </w:t>
            </w:r>
            <w:r w:rsidR="000C34D0" w:rsidRPr="00730000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>maximă</w:t>
            </w:r>
            <w:r w:rsidRPr="00730000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 xml:space="preserve"> </w:t>
            </w:r>
          </w:p>
        </w:tc>
      </w:tr>
      <w:tr w:rsidR="00730000" w:rsidRPr="00730000" w14:paraId="62FE37AF" w14:textId="77777777" w:rsidTr="000E0044">
        <w:tc>
          <w:tcPr>
            <w:tcW w:w="593" w:type="pct"/>
          </w:tcPr>
          <w:p w14:paraId="3944BCC2" w14:textId="2BA0CCD8" w:rsidR="00CE66CC" w:rsidRPr="00730000" w:rsidRDefault="001C710F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b/>
                <w:color w:val="000000" w:themeColor="text1"/>
                <w:lang w:val="ro-RO" w:eastAsia="en-GB"/>
              </w:rPr>
              <w:t>X</w:t>
            </w:r>
          </w:p>
        </w:tc>
        <w:tc>
          <w:tcPr>
            <w:tcW w:w="2080" w:type="pct"/>
            <w:shd w:val="clear" w:color="auto" w:fill="auto"/>
          </w:tcPr>
          <w:p w14:paraId="1D0A2224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 Regiuni mai puțin dezvoltate</w:t>
            </w:r>
          </w:p>
        </w:tc>
        <w:tc>
          <w:tcPr>
            <w:tcW w:w="567" w:type="pct"/>
            <w:shd w:val="clear" w:color="auto" w:fill="auto"/>
          </w:tcPr>
          <w:p w14:paraId="28CC7361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85(2)(aa)</w:t>
            </w:r>
          </w:p>
        </w:tc>
        <w:tc>
          <w:tcPr>
            <w:tcW w:w="635" w:type="pct"/>
          </w:tcPr>
          <w:p w14:paraId="467321D6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val="ro-RO" w:eastAsia="en-GB"/>
              </w:rPr>
              <w:t>85%</w:t>
            </w:r>
          </w:p>
        </w:tc>
        <w:tc>
          <w:tcPr>
            <w:tcW w:w="564" w:type="pct"/>
            <w:shd w:val="clear" w:color="auto" w:fill="auto"/>
          </w:tcPr>
          <w:p w14:paraId="49E5E12A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shd w:val="clear" w:color="auto" w:fill="auto"/>
          </w:tcPr>
          <w:p w14:paraId="12FBDA9B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85%</w:t>
            </w:r>
          </w:p>
        </w:tc>
      </w:tr>
      <w:tr w:rsidR="00730000" w:rsidRPr="00730000" w14:paraId="0B59FD7B" w14:textId="77777777" w:rsidTr="000E0044">
        <w:tc>
          <w:tcPr>
            <w:tcW w:w="593" w:type="pct"/>
          </w:tcPr>
          <w:p w14:paraId="4DAB2A70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sym w:font="Wingdings" w:char="F0A8"/>
            </w:r>
          </w:p>
          <w:p w14:paraId="3A87D9D0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2080" w:type="pct"/>
            <w:shd w:val="clear" w:color="auto" w:fill="auto"/>
          </w:tcPr>
          <w:p w14:paraId="08BBD336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Regiuni ultraperiferice și insulele mici din Marea Egee astfel</w:t>
            </w:r>
            <w:r w:rsidRPr="00730000">
              <w:rPr>
                <w:rFonts w:ascii="Trebuchet MS" w:eastAsia="Times New Roman" w:hAnsi="Trebuchet MS" w:cs="Times New Roman"/>
                <w:bCs/>
                <w:iCs/>
                <w:color w:val="000000" w:themeColor="text1"/>
                <w:lang w:val="ro-RO" w:eastAsia="en-GB"/>
              </w:rPr>
              <w:t xml:space="preserve"> cum sunt definite la articolul 1 alineatul (2) din Regulamentul (UE) nr. 229/2013</w:t>
            </w:r>
          </w:p>
        </w:tc>
        <w:tc>
          <w:tcPr>
            <w:tcW w:w="567" w:type="pct"/>
            <w:shd w:val="clear" w:color="auto" w:fill="auto"/>
          </w:tcPr>
          <w:p w14:paraId="28A27F82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85(2)(a)</w:t>
            </w:r>
          </w:p>
        </w:tc>
        <w:tc>
          <w:tcPr>
            <w:tcW w:w="635" w:type="pct"/>
          </w:tcPr>
          <w:p w14:paraId="7D025D3D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  <w:p w14:paraId="5EBFE425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4" w:type="pct"/>
            <w:shd w:val="clear" w:color="auto" w:fill="auto"/>
          </w:tcPr>
          <w:p w14:paraId="02A04A5E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shd w:val="clear" w:color="auto" w:fill="auto"/>
          </w:tcPr>
          <w:p w14:paraId="5A51B357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80%</w:t>
            </w:r>
          </w:p>
        </w:tc>
      </w:tr>
      <w:tr w:rsidR="00730000" w:rsidRPr="00730000" w14:paraId="161998CC" w14:textId="77777777" w:rsidTr="000E0044"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1F3E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sym w:font="Wingdings" w:char="F0A8"/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52E8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Regiunile de tranziție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FC3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85(2)(ba)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71BE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A610F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A70E3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60%</w:t>
            </w:r>
          </w:p>
        </w:tc>
      </w:tr>
      <w:tr w:rsidR="00730000" w:rsidRPr="00730000" w14:paraId="46DBEBEE" w14:textId="77777777" w:rsidTr="000E0044"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0785F9" w14:textId="5A42686F" w:rsidR="00CE66CC" w:rsidRPr="00730000" w:rsidRDefault="001C710F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b/>
                <w:color w:val="000000" w:themeColor="text1"/>
                <w:lang w:val="ro-RO" w:eastAsia="en-GB"/>
              </w:rPr>
              <w:t>X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EABA6AF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Alte regiuni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A26398D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85(2)(d)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7AB5FB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val="ro-RO" w:eastAsia="en-GB"/>
              </w:rPr>
              <w:t>43%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A43D45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CCF46CC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43%</w:t>
            </w:r>
          </w:p>
        </w:tc>
      </w:tr>
      <w:tr w:rsidR="00730000" w:rsidRPr="00730000" w14:paraId="502C90B5" w14:textId="77777777" w:rsidTr="000E0044">
        <w:tc>
          <w:tcPr>
            <w:tcW w:w="5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F1E8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sym w:font="Wingdings" w:char="F0A8"/>
            </w:r>
          </w:p>
        </w:tc>
        <w:tc>
          <w:tcPr>
            <w:tcW w:w="208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596E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iCs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Plăți pentru constrângeri naturale sau alte constrângeri specifice anumitor zone definite în articolul 71</w:t>
            </w:r>
          </w:p>
          <w:p w14:paraId="19928616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ECB84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85(3)(aa)</w:t>
            </w:r>
          </w:p>
        </w:tc>
        <w:tc>
          <w:tcPr>
            <w:tcW w:w="63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5269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363F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0041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65%</w:t>
            </w:r>
          </w:p>
        </w:tc>
      </w:tr>
      <w:tr w:rsidR="00730000" w:rsidRPr="00730000" w14:paraId="1C8B1A93" w14:textId="77777777" w:rsidTr="000E0044"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5A73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sym w:font="Wingdings" w:char="F0A8"/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E0CB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  <w:p w14:paraId="59269E9E" w14:textId="7A0F4076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Angajamente în materie de mediu și climă și alte angajamente în materie de gestionare conform articolului 70 a Reg., </w:t>
            </w:r>
            <w:r w:rsidRPr="00730000">
              <w:rPr>
                <w:rFonts w:ascii="Trebuchet MS" w:eastAsiaTheme="minorEastAsia" w:hAnsi="Trebuchet MS" w:cs="Times New Roman"/>
                <w:color w:val="000000" w:themeColor="text1"/>
                <w:lang w:val="ro-RO" w:eastAsia="en-GB"/>
              </w:rPr>
              <w:t xml:space="preserve"> </w:t>
            </w: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plăți pentru dezavantaje specifice anumitor zone, generate de anumite cerințe obligatorii conf. Art 72, sprijin pentru investiții non-productive la care </w:t>
            </w: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lastRenderedPageBreak/>
              <w:t>se face referire în art. 73, sprijin pentru PEI conf art. 77 a acestui Reg., inclusiv pentru LEADER, dezvoltarea locală plasată sub responsabilitatea comunității conf</w:t>
            </w:r>
            <w:r w:rsidR="00A60496"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.</w:t>
            </w: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 </w:t>
            </w:r>
            <w:r w:rsidR="00A60496"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art. </w:t>
            </w: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 25 din CPR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E931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lastRenderedPageBreak/>
              <w:t>Art. 85(3)(a)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D5D1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84AD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29AD8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80%</w:t>
            </w:r>
          </w:p>
        </w:tc>
      </w:tr>
      <w:tr w:rsidR="00730000" w:rsidRPr="00730000" w14:paraId="1AD1D6D8" w14:textId="77777777" w:rsidTr="000E0044">
        <w:tc>
          <w:tcPr>
            <w:tcW w:w="593" w:type="pct"/>
          </w:tcPr>
          <w:p w14:paraId="1F874588" w14:textId="77777777" w:rsidR="00CE66CC" w:rsidRPr="00730000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sym w:font="Wingdings" w:char="F0A8"/>
            </w:r>
          </w:p>
        </w:tc>
        <w:tc>
          <w:tcPr>
            <w:tcW w:w="2080" w:type="pct"/>
            <w:shd w:val="clear" w:color="auto" w:fill="auto"/>
          </w:tcPr>
          <w:p w14:paraId="23833ADD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  <w:p w14:paraId="7C75FC8F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Operațiuni ce primesc finanțare din fonduri transferate către FEADR </w:t>
            </w:r>
          </w:p>
        </w:tc>
        <w:tc>
          <w:tcPr>
            <w:tcW w:w="567" w:type="pct"/>
            <w:shd w:val="clear" w:color="auto" w:fill="auto"/>
          </w:tcPr>
          <w:p w14:paraId="5566F6B4" w14:textId="77777777" w:rsidR="00CE66CC" w:rsidRPr="00730000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85(3)(b)</w:t>
            </w:r>
          </w:p>
        </w:tc>
        <w:tc>
          <w:tcPr>
            <w:tcW w:w="635" w:type="pct"/>
          </w:tcPr>
          <w:p w14:paraId="6A1341DD" w14:textId="77777777" w:rsidR="00CE66CC" w:rsidRPr="00730000" w:rsidRDefault="00CE66CC" w:rsidP="000E0044">
            <w:pPr>
              <w:keepNext/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4" w:type="pct"/>
            <w:shd w:val="clear" w:color="auto" w:fill="auto"/>
          </w:tcPr>
          <w:p w14:paraId="7FD29964" w14:textId="77777777" w:rsidR="00CE66CC" w:rsidRPr="00730000" w:rsidRDefault="00CE66CC" w:rsidP="000E0044">
            <w:pPr>
              <w:keepNext/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shd w:val="clear" w:color="auto" w:fill="auto"/>
          </w:tcPr>
          <w:p w14:paraId="4D5396ED" w14:textId="77777777" w:rsidR="00CE66CC" w:rsidRPr="00730000" w:rsidRDefault="00CE66CC" w:rsidP="000E0044">
            <w:pPr>
              <w:keepNext/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100%</w:t>
            </w:r>
          </w:p>
        </w:tc>
      </w:tr>
    </w:tbl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51564BBF" w14:textId="77777777" w:rsidR="00CE66CC" w:rsidRPr="00730000" w:rsidRDefault="00CE66CC" w:rsidP="0005178E">
      <w:pPr>
        <w:pStyle w:val="ListParagraph"/>
        <w:keepNext/>
        <w:numPr>
          <w:ilvl w:val="2"/>
          <w:numId w:val="8"/>
        </w:numPr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</w:pPr>
      <w:r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Aria teritorială de aplicabilitate</w:t>
      </w:r>
    </w:p>
    <w:p w14:paraId="3664182C" w14:textId="24969272" w:rsidR="00CE66CC" w:rsidRPr="00730000" w:rsidRDefault="001C710F" w:rsidP="00CE66C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  <w:r w:rsidRPr="00730000">
        <w:rPr>
          <w:rFonts w:ascii="Trebuchet MS" w:eastAsia="Times New Roman" w:hAnsi="Trebuchet MS" w:cs="Times New Roman"/>
          <w:b/>
          <w:color w:val="000000" w:themeColor="text1"/>
          <w:lang w:val="ro-RO"/>
        </w:rPr>
        <w:t xml:space="preserve">X  </w:t>
      </w:r>
      <w:r w:rsidR="00CE66CC" w:rsidRPr="00730000">
        <w:rPr>
          <w:rFonts w:ascii="Trebuchet MS" w:eastAsia="Times New Roman" w:hAnsi="Trebuchet MS" w:cs="Times New Roman"/>
          <w:b/>
          <w:color w:val="000000" w:themeColor="text1"/>
          <w:lang w:val="ro-RO"/>
        </w:rPr>
        <w:t>National</w:t>
      </w:r>
      <w:r w:rsidR="00CE66CC" w:rsidRPr="00730000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 </w:t>
      </w:r>
      <w:r w:rsidR="00CE66CC" w:rsidRPr="00730000">
        <w:rPr>
          <w:rFonts w:ascii="Trebuchet MS" w:eastAsia="Times New Roman" w:hAnsi="Trebuchet MS" w:cs="Times New Roman"/>
          <w:color w:val="000000" w:themeColor="text1"/>
          <w:lang w:val="ro-RO"/>
        </w:rPr>
        <w:tab/>
      </w:r>
      <w:r w:rsidR="00CE66CC" w:rsidRPr="00730000">
        <w:rPr>
          <w:rFonts w:ascii="Arial" w:eastAsia="Times New Roman" w:hAnsi="Arial" w:cs="Arial"/>
          <w:color w:val="000000" w:themeColor="text1"/>
          <w:lang w:val="ro-RO"/>
        </w:rPr>
        <w:t>○</w:t>
      </w:r>
      <w:r w:rsidR="00CE66CC" w:rsidRPr="00730000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 Regional</w:t>
      </w:r>
      <w:r w:rsidR="00CE66CC" w:rsidRPr="00730000">
        <w:rPr>
          <w:rFonts w:ascii="Trebuchet MS" w:eastAsia="Times New Roman" w:hAnsi="Trebuchet MS" w:cs="Times New Roman"/>
          <w:color w:val="000000" w:themeColor="text1"/>
          <w:lang w:val="ro-RO"/>
        </w:rPr>
        <w:tab/>
      </w:r>
      <w:r w:rsidR="00CE66CC" w:rsidRPr="00730000">
        <w:rPr>
          <w:rFonts w:ascii="Arial" w:eastAsia="Times New Roman" w:hAnsi="Arial" w:cs="Arial"/>
          <w:color w:val="000000" w:themeColor="text1"/>
          <w:lang w:val="ro-RO"/>
        </w:rPr>
        <w:t>○</w:t>
      </w:r>
      <w:r w:rsidR="00CE66CC" w:rsidRPr="00730000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 National cu elemente regionale</w:t>
      </w:r>
      <w:r w:rsidR="00CE66CC"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</w:t>
      </w:r>
    </w:p>
    <w:p w14:paraId="2968CA23" w14:textId="341F61D4" w:rsidR="00CE66CC" w:rsidRPr="00730000" w:rsidRDefault="00CE66CC" w:rsidP="00CE66CC">
      <w:pPr>
        <w:spacing w:after="120" w:line="240" w:lineRule="auto"/>
        <w:jc w:val="both"/>
        <w:rPr>
          <w:rFonts w:ascii="Trebuchet MS" w:eastAsia="Times New Roman" w:hAnsi="Trebuchet MS" w:cs="Times New Roman"/>
          <w:b/>
          <w:color w:val="000000" w:themeColor="text1"/>
          <w:lang w:val="ro-RO" w:eastAsia="en-GB"/>
        </w:rPr>
      </w:pPr>
      <w:r w:rsidRPr="00730000">
        <w:rPr>
          <w:rFonts w:ascii="Trebuchet MS" w:eastAsia="Times New Roman" w:hAnsi="Trebuchet MS" w:cs="Times New Roman"/>
          <w:b/>
          <w:color w:val="000000" w:themeColor="text1"/>
          <w:lang w:val="ro-RO" w:eastAsia="en-GB"/>
        </w:rPr>
        <w:t>Scopul selectării regiunii la nivel NUTS</w:t>
      </w:r>
    </w:p>
    <w:p w14:paraId="43327357" w14:textId="4B8E1416" w:rsidR="00CE66CC" w:rsidRPr="00730000" w:rsidRDefault="001C710F" w:rsidP="00CE6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lang w:val="ro-RO" w:eastAsia="en-GB"/>
        </w:rPr>
      </w:pPr>
      <w:r w:rsidRPr="00730000">
        <w:rPr>
          <w:rFonts w:ascii="Trebuchet MS" w:eastAsia="Times New Roman" w:hAnsi="Trebuchet MS" w:cs="Times New Roman"/>
          <w:color w:val="000000" w:themeColor="text1"/>
          <w:lang w:val="ro-RO" w:eastAsia="en-GB"/>
        </w:rPr>
        <w:t xml:space="preserve"> </w:t>
      </w:r>
      <w:r w:rsidRPr="00730000">
        <w:rPr>
          <w:rFonts w:ascii="Trebuchet MS" w:eastAsia="Times New Roman" w:hAnsi="Trebuchet MS" w:cs="Times New Roman"/>
          <w:b/>
          <w:color w:val="000000" w:themeColor="text1"/>
          <w:lang w:val="ro-RO" w:eastAsia="en-GB"/>
        </w:rPr>
        <w:t>X</w:t>
      </w:r>
      <w:r w:rsidRPr="00730000">
        <w:rPr>
          <w:rFonts w:ascii="Trebuchet MS" w:eastAsia="Times New Roman" w:hAnsi="Trebuchet MS" w:cs="Times New Roman"/>
          <w:color w:val="000000" w:themeColor="text1"/>
          <w:lang w:val="ro-RO" w:eastAsia="en-GB"/>
        </w:rPr>
        <w:t xml:space="preserve"> </w:t>
      </w:r>
      <w:r w:rsidR="00CE66CC" w:rsidRPr="00730000">
        <w:rPr>
          <w:rFonts w:ascii="Trebuchet MS" w:eastAsia="Times New Roman" w:hAnsi="Trebuchet MS" w:cs="Times New Roman"/>
          <w:color w:val="000000" w:themeColor="text1"/>
          <w:lang w:val="ro-RO" w:eastAsia="en-GB"/>
        </w:rPr>
        <w:t>NUTS  1 - național</w:t>
      </w:r>
    </w:p>
    <w:p w14:paraId="6D861D1A" w14:textId="0298F407" w:rsidR="001B426C" w:rsidRPr="00730000" w:rsidRDefault="00DB3C56" w:rsidP="001B426C">
      <w:pPr>
        <w:spacing w:before="120" w:after="12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>Descrierea domeniul de aplicare teritorială</w:t>
      </w:r>
    </w:p>
    <w:p w14:paraId="797F1CCD" w14:textId="3E46D972" w:rsidR="00A84C1F" w:rsidRPr="00730000" w:rsidRDefault="00DB3C56" w:rsidP="001B426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N/A</w:t>
      </w:r>
    </w:p>
    <w:p w14:paraId="3EEF8F08" w14:textId="047A3BBC" w:rsidR="001B426C" w:rsidRPr="00730000" w:rsidRDefault="00CE66CC" w:rsidP="0005178E">
      <w:pPr>
        <w:pStyle w:val="ListParagraph"/>
        <w:keepNext/>
        <w:numPr>
          <w:ilvl w:val="2"/>
          <w:numId w:val="7"/>
        </w:numPr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</w:pPr>
      <w:bookmarkStart w:id="14" w:name="_Toc77173501"/>
      <w:bookmarkStart w:id="15" w:name="_Toc77675095"/>
      <w:bookmarkStart w:id="16" w:name="_Toc78293395"/>
      <w:bookmarkStart w:id="17" w:name="_Toc78296338"/>
      <w:bookmarkStart w:id="18" w:name="_Toc78379343"/>
      <w:bookmarkStart w:id="19" w:name="_Toc78384995"/>
      <w:bookmarkStart w:id="20" w:name="_Toc78389855"/>
      <w:bookmarkStart w:id="21" w:name="_Toc81568690"/>
      <w:bookmarkStart w:id="22" w:name="_Toc81569478"/>
      <w:bookmarkStart w:id="23" w:name="_Toc81572463"/>
      <w:bookmarkStart w:id="24" w:name="_Toc82098793"/>
      <w:r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Obiective specifice și transversale conexe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37215F7B" w14:textId="30D7BE19" w:rsidR="00A84C1F" w:rsidRPr="00730000" w:rsidRDefault="00E400DB" w:rsidP="005811D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  <w:r w:rsidRPr="00730000">
        <w:rPr>
          <w:rFonts w:ascii="Trebuchet MS" w:eastAsia="Times New Roman" w:hAnsi="Trebuchet MS" w:cstheme="minorHAnsi"/>
          <w:b/>
          <w:color w:val="000000" w:themeColor="text1"/>
          <w:lang w:val="ro-RO" w:eastAsia="en-GB"/>
        </w:rPr>
        <w:t>OS1</w:t>
      </w:r>
      <w:r w:rsidR="00B55AB6"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- </w:t>
      </w:r>
      <w:bookmarkStart w:id="25" w:name="_Toc72429695"/>
      <w:bookmarkStart w:id="26" w:name="_Toc72513891"/>
      <w:bookmarkStart w:id="27" w:name="_Toc72514153"/>
      <w:bookmarkStart w:id="28" w:name="_Toc72514397"/>
      <w:bookmarkStart w:id="29" w:name="_Toc72934954"/>
      <w:bookmarkStart w:id="30" w:name="_Toc72935170"/>
      <w:bookmarkStart w:id="31" w:name="_Toc72429696"/>
      <w:bookmarkStart w:id="32" w:name="_Toc72513892"/>
      <w:bookmarkStart w:id="33" w:name="_Toc72514154"/>
      <w:bookmarkStart w:id="34" w:name="_Toc72514398"/>
      <w:bookmarkStart w:id="35" w:name="_Toc72934955"/>
      <w:bookmarkStart w:id="36" w:name="_Toc72935171"/>
      <w:bookmarkStart w:id="37" w:name="_Toc72429697"/>
      <w:bookmarkStart w:id="38" w:name="_Toc72513893"/>
      <w:bookmarkStart w:id="39" w:name="_Toc72514155"/>
      <w:bookmarkStart w:id="40" w:name="_Toc72514399"/>
      <w:bookmarkStart w:id="41" w:name="_Toc72934956"/>
      <w:bookmarkStart w:id="42" w:name="_Toc72935172"/>
      <w:bookmarkStart w:id="43" w:name="_Toc72170767"/>
      <w:bookmarkStart w:id="44" w:name="_Toc72171320"/>
      <w:bookmarkStart w:id="45" w:name="_Toc72171876"/>
      <w:bookmarkStart w:id="46" w:name="_Toc72172432"/>
      <w:bookmarkStart w:id="47" w:name="_Toc72172640"/>
      <w:bookmarkStart w:id="48" w:name="_Toc72173189"/>
      <w:bookmarkStart w:id="49" w:name="_Toc72173741"/>
      <w:bookmarkStart w:id="50" w:name="_Toc72174293"/>
      <w:bookmarkStart w:id="51" w:name="_Toc72174845"/>
      <w:bookmarkStart w:id="52" w:name="_Toc72175397"/>
      <w:bookmarkStart w:id="53" w:name="_Toc72175949"/>
      <w:bookmarkStart w:id="54" w:name="_Toc72176156"/>
      <w:bookmarkStart w:id="55" w:name="_Toc72176704"/>
      <w:bookmarkStart w:id="56" w:name="_Toc72177255"/>
      <w:bookmarkStart w:id="57" w:name="_Toc72177806"/>
      <w:bookmarkStart w:id="58" w:name="_Toc72178357"/>
      <w:bookmarkStart w:id="59" w:name="_Toc72178908"/>
      <w:bookmarkStart w:id="60" w:name="_Toc72179459"/>
      <w:bookmarkStart w:id="61" w:name="_Toc72180010"/>
      <w:bookmarkStart w:id="62" w:name="_Toc72180563"/>
      <w:bookmarkStart w:id="63" w:name="_Toc72181122"/>
      <w:bookmarkStart w:id="64" w:name="_Toc72181681"/>
      <w:bookmarkStart w:id="65" w:name="_Toc72182240"/>
      <w:bookmarkStart w:id="66" w:name="_Toc72182799"/>
      <w:bookmarkStart w:id="67" w:name="_Toc72183358"/>
      <w:bookmarkStart w:id="68" w:name="_Toc72429698"/>
      <w:bookmarkStart w:id="69" w:name="_Toc72513894"/>
      <w:bookmarkStart w:id="70" w:name="_Toc72514156"/>
      <w:bookmarkStart w:id="71" w:name="_Toc72514400"/>
      <w:bookmarkStart w:id="72" w:name="_Toc72934957"/>
      <w:bookmarkStart w:id="73" w:name="_Toc72935173"/>
      <w:bookmarkStart w:id="74" w:name="_Toc77173502"/>
      <w:bookmarkStart w:id="75" w:name="_Toc77675096"/>
      <w:bookmarkStart w:id="76" w:name="_Toc78293396"/>
      <w:bookmarkStart w:id="77" w:name="_Toc78296339"/>
      <w:bookmarkStart w:id="78" w:name="_Toc78379344"/>
      <w:bookmarkStart w:id="79" w:name="_Toc78384996"/>
      <w:bookmarkStart w:id="80" w:name="_Toc78389856"/>
      <w:bookmarkStart w:id="81" w:name="_Toc81568691"/>
      <w:bookmarkStart w:id="82" w:name="_Toc81569479"/>
      <w:bookmarkStart w:id="83" w:name="_Toc81572464"/>
      <w:bookmarkStart w:id="84" w:name="_Toc8209879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 w:rsidR="00903ED8"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>Sprijinirea veniturilor viabile ale fermelor și a rezilienței sectorului agricol în întreaga Uniune pentru a spori diversitatea agricolă și securitatea alimentară pe termen lung, precum și pentru a asigura durabilitatea economică a producției agricole în Uniune</w:t>
      </w:r>
    </w:p>
    <w:p w14:paraId="0A46DB71" w14:textId="77777777" w:rsidR="00422D1C" w:rsidRPr="00730000" w:rsidRDefault="00422D1C" w:rsidP="0005178E">
      <w:pPr>
        <w:pStyle w:val="ListParagraph"/>
        <w:keepNext/>
        <w:numPr>
          <w:ilvl w:val="2"/>
          <w:numId w:val="7"/>
        </w:numPr>
        <w:spacing w:before="120" w:after="120" w:line="240" w:lineRule="auto"/>
        <w:jc w:val="both"/>
        <w:outlineLvl w:val="2"/>
        <w:rPr>
          <w:rFonts w:ascii="Trebuchet MS" w:eastAsia="Times New Roman" w:hAnsi="Trebuchet MS" w:cstheme="minorHAnsi"/>
          <w:bCs/>
          <w:color w:val="000000" w:themeColor="text1"/>
          <w:lang w:val="ro-RO" w:eastAsia="en-GB"/>
        </w:rPr>
      </w:pPr>
      <w:bookmarkStart w:id="85" w:name="_Hlk86673327"/>
      <w:bookmarkStart w:id="86" w:name="_Toc77173503"/>
      <w:bookmarkStart w:id="87" w:name="_Toc77675097"/>
      <w:bookmarkStart w:id="88" w:name="_Toc78293397"/>
      <w:bookmarkStart w:id="89" w:name="_Toc78296340"/>
      <w:bookmarkStart w:id="90" w:name="_Toc78379345"/>
      <w:bookmarkStart w:id="91" w:name="_Toc78384997"/>
      <w:bookmarkStart w:id="92" w:name="_Toc78389857"/>
      <w:bookmarkStart w:id="93" w:name="_Toc81568692"/>
      <w:bookmarkStart w:id="94" w:name="_Toc81569480"/>
      <w:bookmarkStart w:id="95" w:name="_Toc81572465"/>
      <w:bookmarkStart w:id="96" w:name="_Toc82098795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Nevoile la care răspunde intervenția</w:t>
      </w:r>
    </w:p>
    <w:bookmarkEnd w:id="85"/>
    <w:p w14:paraId="24BF18E0" w14:textId="414C81FA" w:rsidR="00F907F4" w:rsidRPr="00730000" w:rsidRDefault="00903ED8" w:rsidP="0007502B">
      <w:pPr>
        <w:pStyle w:val="ListDash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730000">
        <w:rPr>
          <w:rFonts w:ascii="Trebuchet MS" w:hAnsi="Trebuchet MS"/>
          <w:color w:val="000000" w:themeColor="text1"/>
          <w:sz w:val="22"/>
          <w:szCs w:val="22"/>
          <w:lang w:val="ro-RO"/>
        </w:rPr>
        <w:t>Creșterea gradului de reziliență a exploatațiilor agricole la impactul negativ al factorilor climatici</w:t>
      </w:r>
      <w:r w:rsidR="004F0CA5" w:rsidRPr="00730000">
        <w:rPr>
          <w:rFonts w:ascii="Trebuchet MS" w:hAnsi="Trebuchet MS"/>
          <w:color w:val="000000" w:themeColor="text1"/>
          <w:sz w:val="22"/>
          <w:szCs w:val="22"/>
          <w:lang w:val="ro-RO"/>
        </w:rPr>
        <w:t>.</w:t>
      </w:r>
      <w:r w:rsidRPr="00730000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</w:t>
      </w:r>
    </w:p>
    <w:p w14:paraId="60B5E6B9" w14:textId="3344E3B2" w:rsidR="00E76D9B" w:rsidRPr="00730000" w:rsidRDefault="00422D1C" w:rsidP="0005178E">
      <w:pPr>
        <w:pStyle w:val="ListParagraph"/>
        <w:keepNext/>
        <w:numPr>
          <w:ilvl w:val="2"/>
          <w:numId w:val="7"/>
        </w:numPr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</w:pPr>
      <w:bookmarkStart w:id="97" w:name="_Hlk8667329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Indicatori de rezultat</w:t>
      </w:r>
    </w:p>
    <w:bookmarkEnd w:id="97"/>
    <w:p w14:paraId="310467C4" w14:textId="574FD055" w:rsidR="00E76D9B" w:rsidRPr="00730000" w:rsidRDefault="0007502B" w:rsidP="00E76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>R.5</w:t>
      </w:r>
      <w:r w:rsidR="00E76D9B"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</w:t>
      </w:r>
      <w:r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Ponderea </w:t>
      </w:r>
      <w:r w:rsidR="00E76D9B"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>fermelor</w:t>
      </w:r>
      <w:r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a</w:t>
      </w:r>
      <w:r w:rsidR="007E13A6"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>gricole acoperite de instrument</w:t>
      </w:r>
      <w:r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e de gestionare a riscurilor care </w:t>
      </w:r>
      <w:r w:rsidR="00E76D9B"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</w:t>
      </w:r>
      <w:r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beneficiază </w:t>
      </w:r>
      <w:r w:rsidR="00E76D9B"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</w:t>
      </w:r>
      <w:r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de </w:t>
      </w:r>
      <w:r w:rsidR="00E76D9B"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sprijin </w:t>
      </w:r>
      <w:r w:rsidRPr="00730000">
        <w:rPr>
          <w:rFonts w:ascii="Trebuchet MS" w:eastAsia="Times New Roman" w:hAnsi="Trebuchet MS" w:cstheme="minorHAnsi"/>
          <w:color w:val="000000" w:themeColor="text1"/>
          <w:lang w:val="ro-RO" w:eastAsia="en-GB"/>
        </w:rPr>
        <w:t>în cadrul PAC</w:t>
      </w:r>
    </w:p>
    <w:p w14:paraId="685DDA5A" w14:textId="60EFAC21" w:rsidR="007E13A6" w:rsidRPr="00730000" w:rsidRDefault="00422D1C" w:rsidP="0005178E">
      <w:pPr>
        <w:keepNext/>
        <w:numPr>
          <w:ilvl w:val="2"/>
          <w:numId w:val="7"/>
        </w:numPr>
        <w:tabs>
          <w:tab w:val="num" w:pos="1361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theme="minorHAnsi"/>
          <w:b/>
          <w:iCs/>
          <w:color w:val="000000" w:themeColor="text1"/>
          <w:lang w:val="ro-RO"/>
        </w:rPr>
      </w:pPr>
      <w:bookmarkStart w:id="98" w:name="_Hlk86673349"/>
      <w:r w:rsidRPr="00730000">
        <w:rPr>
          <w:rFonts w:ascii="Trebuchet MS" w:eastAsia="Times New Roman" w:hAnsi="Trebuchet MS" w:cstheme="minorHAnsi"/>
          <w:b/>
          <w:bCs/>
          <w:color w:val="000000" w:themeColor="text1"/>
          <w:lang w:val="ro-RO" w:eastAsia="en-GB"/>
        </w:rPr>
        <w:t>D</w:t>
      </w:r>
      <w:r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escrierea </w:t>
      </w:r>
      <w:r w:rsidR="0007502B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obiectivelor specifice şi a </w:t>
      </w:r>
      <w:r w:rsidR="004F0CA5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conținutului</w:t>
      </w:r>
      <w:r w:rsidR="0007502B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 </w:t>
      </w:r>
      <w:r w:rsidR="004F0CA5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intervenției</w:t>
      </w:r>
      <w:r w:rsidR="007E13A6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, inclusiv a elementelor specifice de orientare, principii de </w:t>
      </w:r>
      <w:r w:rsidR="004F0CA5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selecție</w:t>
      </w:r>
      <w:r w:rsidR="007E13A6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, legături cu </w:t>
      </w:r>
      <w:r w:rsidR="004F0CA5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legislația</w:t>
      </w:r>
      <w:r w:rsidR="007E13A6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 relevantă, complementaritatea cu alte </w:t>
      </w:r>
      <w:r w:rsidR="004F0CA5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intervenții</w:t>
      </w:r>
      <w:r w:rsidR="007E13A6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/seturi de </w:t>
      </w:r>
      <w:r w:rsidR="004F0CA5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operațiuni</w:t>
      </w:r>
      <w:r w:rsidR="007E13A6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  din ambii piloni şi alte </w:t>
      </w:r>
      <w:r w:rsidR="004F0CA5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informații</w:t>
      </w:r>
      <w:r w:rsidR="007E13A6" w:rsidRPr="00730000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 relevante  </w:t>
      </w:r>
    </w:p>
    <w:p w14:paraId="45871634" w14:textId="4BD427FA" w:rsidR="00887FDE" w:rsidRPr="00730000" w:rsidRDefault="00887FDE" w:rsidP="00887FD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bookmarkStart w:id="99" w:name="_Hlk86673376"/>
      <w:bookmarkEnd w:id="98"/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Scopul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intervenției</w:t>
      </w:r>
      <w:r w:rsidR="007E13A6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este de a încuraja fermierii în aplicarea unor instrumente de gestionare a riscurilor la nivelul fermei </w:t>
      </w:r>
      <w:r w:rsidR="0030757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prin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subvenționarea</w:t>
      </w:r>
      <w:r w:rsidR="0030757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unei părți din prima de asigurare eligibilă plătită.</w:t>
      </w:r>
    </w:p>
    <w:p w14:paraId="286648F1" w14:textId="667FB859" w:rsidR="0030757A" w:rsidRPr="00730000" w:rsidRDefault="0030757A" w:rsidP="00887FD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Această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intervenție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este complementară cu instrumentele de gestionare a riscurilor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finanțate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din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intervențiile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sectoriale din Pilonul I pentru sectorul legume-fructe şi </w:t>
      </w:r>
      <w:r w:rsidR="00380ED6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sectorul 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viti-vinicol.</w:t>
      </w:r>
    </w:p>
    <w:p w14:paraId="200DE7A4" w14:textId="167FFB01" w:rsidR="0030757A" w:rsidRPr="00730000" w:rsidRDefault="0030757A" w:rsidP="00B367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Totodată, pentru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conștientizarea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în rândul fermierilor a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importanței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pe care trebuie să o acorde aplicării unor instrumente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corespunzătoare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de management al riscului la nivel de fermă şi a informării corespunzătoare cu privire la sprijinul acordat prin diverse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intervenții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PNS, prin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intervențiile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care</w:t>
      </w:r>
      <w:r w:rsidR="00B367D4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vizează transferul de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cunoștințe</w:t>
      </w:r>
      <w:r w:rsidR="00B367D4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şi informarea se vor acoperi nevoile de formare şi consiliere a</w:t>
      </w:r>
      <w:r w:rsidR="00003FDF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le</w:t>
      </w:r>
      <w:r w:rsidR="00B367D4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fermierilor pe problematica managementului riscului în agricultură.</w:t>
      </w:r>
    </w:p>
    <w:p w14:paraId="6D7A9BA8" w14:textId="6EE62F08" w:rsidR="00111861" w:rsidRPr="00730000" w:rsidRDefault="004F0CA5" w:rsidP="0011186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Legislația</w:t>
      </w:r>
      <w:r w:rsidR="0011186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națională</w:t>
      </w:r>
      <w:r w:rsidR="0011186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incidentă pentru această 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intervenție</w:t>
      </w:r>
      <w:r w:rsidR="0011186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vizează:</w:t>
      </w:r>
    </w:p>
    <w:p w14:paraId="4D4CFCF7" w14:textId="1E8FD97A" w:rsidR="00111861" w:rsidRPr="00730000" w:rsidRDefault="00111861" w:rsidP="0011186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- Legea nr. 236/2018 privind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distribuția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de asigurări.</w:t>
      </w:r>
    </w:p>
    <w:p w14:paraId="1F980B28" w14:textId="66DEE0A0" w:rsidR="00111861" w:rsidRPr="00730000" w:rsidRDefault="00111861" w:rsidP="00104F2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- Legea nr. 237/2015 privind autorizarea și supravegherea activității de asigurare și reasigurare, cu modificările și completările ulterioare.</w:t>
      </w:r>
    </w:p>
    <w:p w14:paraId="2D14C2F0" w14:textId="77777777" w:rsidR="00A60496" w:rsidRPr="00730000" w:rsidRDefault="00A60496" w:rsidP="00693EAC">
      <w:pPr>
        <w:spacing w:before="60" w:after="120"/>
        <w:rPr>
          <w:rFonts w:ascii="Trebuchet MS" w:hAnsi="Trebuchet MS"/>
          <w:b/>
          <w:bCs/>
          <w:iCs/>
          <w:color w:val="000000" w:themeColor="text1"/>
          <w:lang w:val="ro-RO"/>
        </w:rPr>
      </w:pPr>
      <w:bookmarkStart w:id="100" w:name="_Toc77161858"/>
      <w:bookmarkStart w:id="101" w:name="_Toc77171187"/>
      <w:bookmarkStart w:id="102" w:name="_Toc77171387"/>
      <w:bookmarkStart w:id="103" w:name="_Toc77171585"/>
      <w:bookmarkStart w:id="104" w:name="_Toc77171783"/>
      <w:bookmarkStart w:id="105" w:name="_Toc77173309"/>
      <w:bookmarkStart w:id="106" w:name="_Toc77173505"/>
      <w:bookmarkStart w:id="107" w:name="_Toc77174956"/>
      <w:bookmarkStart w:id="108" w:name="_Toc77188222"/>
      <w:bookmarkStart w:id="109" w:name="_Toc77666376"/>
      <w:bookmarkStart w:id="110" w:name="_Toc77666586"/>
      <w:bookmarkStart w:id="111" w:name="_Toc77666796"/>
      <w:bookmarkStart w:id="112" w:name="_Toc77667007"/>
      <w:bookmarkStart w:id="113" w:name="_Toc77668811"/>
      <w:bookmarkStart w:id="114" w:name="_Toc77669021"/>
      <w:bookmarkStart w:id="115" w:name="_Toc77669231"/>
      <w:bookmarkStart w:id="116" w:name="_Toc77669441"/>
      <w:bookmarkStart w:id="117" w:name="_Toc77669651"/>
      <w:bookmarkStart w:id="118" w:name="_Toc77669860"/>
      <w:bookmarkStart w:id="119" w:name="_Toc77670070"/>
      <w:bookmarkStart w:id="120" w:name="_Toc77670279"/>
      <w:bookmarkStart w:id="121" w:name="_Toc77670489"/>
      <w:bookmarkStart w:id="122" w:name="_Toc77675099"/>
      <w:bookmarkStart w:id="123" w:name="_Toc78292210"/>
      <w:bookmarkStart w:id="124" w:name="_Toc78292438"/>
      <w:bookmarkStart w:id="125" w:name="_Toc78292603"/>
      <w:bookmarkStart w:id="126" w:name="_Toc78292829"/>
      <w:bookmarkStart w:id="127" w:name="_Toc78293399"/>
      <w:bookmarkStart w:id="128" w:name="_Toc78293621"/>
      <w:bookmarkStart w:id="129" w:name="_Toc78296116"/>
      <w:bookmarkStart w:id="130" w:name="_Toc78296342"/>
      <w:bookmarkStart w:id="131" w:name="_Toc78375527"/>
      <w:bookmarkStart w:id="132" w:name="_Toc78377507"/>
      <w:bookmarkStart w:id="133" w:name="_Toc78379347"/>
      <w:bookmarkStart w:id="134" w:name="_Toc78380716"/>
      <w:bookmarkStart w:id="135" w:name="_Toc78383263"/>
      <w:bookmarkStart w:id="136" w:name="_Toc78383952"/>
      <w:bookmarkStart w:id="137" w:name="_Toc78384772"/>
      <w:bookmarkStart w:id="138" w:name="_Toc78384999"/>
      <w:bookmarkStart w:id="139" w:name="_Toc78389493"/>
      <w:bookmarkStart w:id="140" w:name="_Toc78389859"/>
      <w:bookmarkStart w:id="141" w:name="_Toc78446328"/>
      <w:bookmarkStart w:id="142" w:name="_Toc78450424"/>
      <w:bookmarkStart w:id="143" w:name="_Toc78465466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14:paraId="3D16F60F" w14:textId="3CA6B7BB" w:rsidR="00693EAC" w:rsidRPr="00730000" w:rsidRDefault="00693EAC" w:rsidP="00693EAC">
      <w:pPr>
        <w:spacing w:before="60" w:after="120"/>
        <w:rPr>
          <w:rFonts w:ascii="Trebuchet MS" w:hAnsi="Trebuchet MS"/>
          <w:b/>
          <w:color w:val="000000" w:themeColor="text1"/>
          <w:lang w:val="ro-RO"/>
        </w:rPr>
      </w:pPr>
      <w:r w:rsidRPr="00730000">
        <w:rPr>
          <w:rFonts w:ascii="Trebuchet MS" w:hAnsi="Trebuchet MS"/>
          <w:b/>
          <w:bCs/>
          <w:iCs/>
          <w:color w:val="000000" w:themeColor="text1"/>
          <w:lang w:val="ro-RO"/>
        </w:rPr>
        <w:t>D</w:t>
      </w:r>
      <w:r w:rsidRPr="00730000">
        <w:rPr>
          <w:rFonts w:ascii="Trebuchet MS" w:hAnsi="Trebuchet MS"/>
          <w:b/>
          <w:iCs/>
          <w:color w:val="000000" w:themeColor="text1"/>
          <w:lang w:val="ro-RO"/>
        </w:rPr>
        <w:t>efinirea beneficiarilor eligibili și condițiile de eligibilitate specifice legate de beneficiari și aria de aplicabilitate</w:t>
      </w:r>
    </w:p>
    <w:p w14:paraId="14CC7795" w14:textId="3B350704" w:rsidR="00937218" w:rsidRPr="00730000" w:rsidRDefault="00937218" w:rsidP="00887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</w:pPr>
      <w:r w:rsidRPr="00730000"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  <w:t>Beneficiari eligibili</w:t>
      </w:r>
    </w:p>
    <w:p w14:paraId="03144202" w14:textId="44010636" w:rsidR="00937218" w:rsidRPr="00730000" w:rsidRDefault="00937218" w:rsidP="00887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rebuchet MS" w:eastAsia="Times New Roman" w:hAnsi="Trebuchet MS" w:cstheme="minorHAnsi"/>
          <w:b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Fermierii activi conform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definiției</w:t>
      </w:r>
      <w:r w:rsidR="00CC0DA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din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secțiunea</w:t>
      </w:r>
      <w:r w:rsidR="00CC0DA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specifică PNS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.</w:t>
      </w:r>
    </w:p>
    <w:p w14:paraId="1924FBBF" w14:textId="6030CB62" w:rsidR="00887FDE" w:rsidRPr="00730000" w:rsidRDefault="00D43C5E" w:rsidP="00887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</w:pPr>
      <w:r w:rsidRPr="00730000"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  <w:t>Condiții de eligibilitate</w:t>
      </w:r>
      <w:r w:rsidR="00B367D4" w:rsidRPr="00730000"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  <w:t xml:space="preserve"> </w:t>
      </w:r>
    </w:p>
    <w:p w14:paraId="175BB1AF" w14:textId="624FC4E3" w:rsidR="00887FDE" w:rsidRPr="00730000" w:rsidRDefault="00937218" w:rsidP="0011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1</w:t>
      </w:r>
      <w:r w:rsidR="0042073B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.</w:t>
      </w:r>
      <w:r w:rsidR="0095214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="002A0247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Fermierul</w:t>
      </w:r>
      <w:r w:rsidR="0011186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="00CC0DA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a </w:t>
      </w:r>
      <w:r w:rsidR="00B45FE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închei</w:t>
      </w:r>
      <w:r w:rsidR="00CC0DA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at</w:t>
      </w:r>
      <w:r w:rsidR="0011186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un contract de asigurare</w:t>
      </w:r>
      <w:r w:rsidR="00B45FE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="0011186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pentru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producția</w:t>
      </w:r>
      <w:r w:rsidR="0011186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agricolă şi </w:t>
      </w:r>
      <w:r w:rsidR="00CC0DA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a  plătit</w:t>
      </w:r>
      <w:r w:rsidR="00FF4FE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integral</w:t>
      </w:r>
      <w:r w:rsidR="0011186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prima de asigurare</w:t>
      </w:r>
      <w:r w:rsidR="00B45FE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în cuantumul prevăzut în contract</w:t>
      </w:r>
      <w:r w:rsidR="0011186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;</w:t>
      </w:r>
    </w:p>
    <w:p w14:paraId="4B584C9C" w14:textId="7B73E31D" w:rsidR="00151A21" w:rsidRPr="00730000" w:rsidRDefault="00DC5666" w:rsidP="0011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2</w:t>
      </w:r>
      <w:r w:rsidR="00151A2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. Contractul de asigurare </w:t>
      </w:r>
      <w:r w:rsidR="00CC0DA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acoperă</w:t>
      </w:r>
      <w:r w:rsidR="00151A2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cel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puțin</w:t>
      </w:r>
      <w:r w:rsidR="00151A2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unul din 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riscurile eligibile;</w:t>
      </w:r>
    </w:p>
    <w:p w14:paraId="441A9BAF" w14:textId="43DB5FF8" w:rsidR="005F2272" w:rsidRPr="00730000" w:rsidRDefault="00DC5666" w:rsidP="0011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3</w:t>
      </w:r>
      <w:r w:rsidR="00151A21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. 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Contractul de asigurare</w:t>
      </w:r>
      <w:r w:rsidR="005F2272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prevede acoperirea pierderilor care depășesc un prag de cel puțin 20 % din producția medie anuală a fermierului. 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Detaliile privind aplicarea acestei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condiții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de eligibilitate sunt prevăzute la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secțiunea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Compensarea pierderilor. </w:t>
      </w:r>
    </w:p>
    <w:p w14:paraId="157FE3ED" w14:textId="3B34088C" w:rsidR="00151A21" w:rsidRPr="00730000" w:rsidRDefault="00DC5666" w:rsidP="0011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4</w:t>
      </w:r>
      <w:r w:rsidR="00D32F9C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.</w:t>
      </w:r>
      <w:r w:rsidR="00D32F9C" w:rsidRPr="00730000">
        <w:rPr>
          <w:rFonts w:ascii="Times New Roman" w:eastAsia="Times New Roman" w:hAnsi="Times New Roman" w:cs="Times New Roman"/>
          <w:color w:val="000000" w:themeColor="text1"/>
          <w:sz w:val="24"/>
          <w:lang w:val="ro-RO" w:eastAsia="en-GB"/>
        </w:rPr>
        <w:t xml:space="preserve"> </w:t>
      </w:r>
      <w:r w:rsidR="005F2272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Contractul de asigurare </w:t>
      </w:r>
      <w:r w:rsidR="00D32F9C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prevede</w:t>
      </w:r>
      <w:r w:rsidR="005F2272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o metodologie de calculare a pierderilor </w:t>
      </w:r>
      <w:r w:rsidR="0093721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fie </w:t>
      </w:r>
      <w:r w:rsidR="005F2272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pe baza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evidențelor</w:t>
      </w:r>
      <w:r w:rsidR="005F2272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contabile ale fermierilor</w:t>
      </w:r>
      <w:r w:rsidR="00D32F9C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="0093721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şi a expertizei tehnice a asiguratorului pentru constatarea daunei</w:t>
      </w:r>
      <w:r w:rsidR="00151C63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,</w:t>
      </w:r>
      <w:r w:rsidR="0093721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fie</w:t>
      </w:r>
      <w:r w:rsidR="00D32F9C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pe bază de indici</w:t>
      </w:r>
      <w:r w:rsidR="005F2272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.</w:t>
      </w:r>
    </w:p>
    <w:p w14:paraId="2F1BC8BD" w14:textId="3B5A8140" w:rsidR="00CC0DA8" w:rsidRPr="00730000" w:rsidRDefault="00DC5666" w:rsidP="0011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5</w:t>
      </w:r>
      <w:r w:rsidR="00CC0DA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. Contractul de asigurare </w:t>
      </w:r>
      <w:r w:rsidR="004F0CA5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conține</w:t>
      </w:r>
      <w:r w:rsidR="00CC0DA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prevederi privind evitarea supracompensării.</w:t>
      </w:r>
    </w:p>
    <w:p w14:paraId="741D16D2" w14:textId="66E2ADB0" w:rsidR="005E64EA" w:rsidRPr="00730000" w:rsidRDefault="00251B79" w:rsidP="0011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</w:pPr>
      <w:r w:rsidRPr="00730000"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  <w:t>C</w:t>
      </w:r>
      <w:r w:rsidR="005E64EA" w:rsidRPr="00730000"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  <w:t>heltuieli neeligibile</w:t>
      </w:r>
    </w:p>
    <w:p w14:paraId="3B0CC53D" w14:textId="61302B05" w:rsidR="005E64EA" w:rsidRPr="00730000" w:rsidRDefault="00151C63" w:rsidP="0011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1. 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Contractele de asigurare pentru </w:t>
      </w:r>
      <w:r w:rsidR="00003FDF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producția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viticolă sau cele din sectorul legume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-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fructe pentru acei fermieri care fac parte din </w:t>
      </w:r>
      <w:r w:rsidR="00003FDF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Organizații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de producători sprijinite prin </w:t>
      </w:r>
      <w:r w:rsidR="00003FDF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Intervenția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sectorial</w:t>
      </w: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ă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specifică;</w:t>
      </w:r>
    </w:p>
    <w:p w14:paraId="17D4E9EA" w14:textId="7AF9665F" w:rsidR="005E64EA" w:rsidRPr="00730000" w:rsidRDefault="00151C63" w:rsidP="0011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2. 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Primele </w:t>
      </w:r>
      <w:r w:rsidR="00B933E2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suplimentare î</w:t>
      </w:r>
      <w:r w:rsidR="005E64EA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n cazul </w:t>
      </w:r>
      <w:r w:rsidR="00B933E2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unor prevederi ale contractelor de asigur</w:t>
      </w:r>
      <w:r w:rsidR="00003FDF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are</w:t>
      </w:r>
      <w:r w:rsidR="00B933E2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care dau posibilitatea acoperirii  şi a unor riscuri neeligibile</w:t>
      </w:r>
      <w:r w:rsidR="005150B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şi/</w:t>
      </w:r>
      <w:r w:rsidR="00B933E2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sau a unor pierderi mai mici de 20%. </w:t>
      </w:r>
    </w:p>
    <w:p w14:paraId="52F63DE6" w14:textId="05D81461" w:rsidR="00C94E36" w:rsidRPr="00730000" w:rsidRDefault="00151C63" w:rsidP="0011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3. </w:t>
      </w:r>
      <w:r w:rsidR="00C94E36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Primele de asigurare </w:t>
      </w:r>
      <w:r w:rsidR="00786DBE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aferente diferențelor de suprafață </w:t>
      </w:r>
      <w:r w:rsidR="00291E28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asigurate în plus față de suprafețele identificate în sistemele instituțiilor publice (IACS, Registrul, Agricol, etc).</w:t>
      </w:r>
      <w:r w:rsidR="00C94E36" w:rsidRPr="00730000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</w:p>
    <w:p w14:paraId="6BA6760E" w14:textId="77777777" w:rsidR="002B6780" w:rsidRPr="00730000" w:rsidRDefault="002B6780" w:rsidP="00C22FBE">
      <w:pPr>
        <w:spacing w:after="120"/>
        <w:rPr>
          <w:rFonts w:ascii="Trebuchet MS" w:hAnsi="Trebuchet MS"/>
          <w:b/>
          <w:iCs/>
          <w:color w:val="000000" w:themeColor="text1"/>
          <w:lang w:val="ro-RO"/>
        </w:rPr>
      </w:pPr>
    </w:p>
    <w:p w14:paraId="600536E5" w14:textId="51D4CC17" w:rsidR="00C22FBE" w:rsidRPr="00730000" w:rsidRDefault="00C22FBE" w:rsidP="00003FDF">
      <w:pPr>
        <w:keepNext/>
        <w:numPr>
          <w:ilvl w:val="2"/>
          <w:numId w:val="7"/>
        </w:numPr>
        <w:tabs>
          <w:tab w:val="num" w:pos="1361"/>
        </w:tabs>
        <w:spacing w:before="120" w:after="120" w:line="240" w:lineRule="auto"/>
        <w:ind w:left="737" w:hanging="737"/>
        <w:jc w:val="both"/>
        <w:outlineLvl w:val="2"/>
        <w:rPr>
          <w:rFonts w:ascii="Trebuchet MS" w:hAnsi="Trebuchet MS"/>
          <w:b/>
          <w:color w:val="000000" w:themeColor="text1"/>
          <w:lang w:val="ro-RO"/>
        </w:rPr>
      </w:pPr>
      <w:r w:rsidRPr="00730000">
        <w:rPr>
          <w:rFonts w:ascii="Trebuchet MS" w:hAnsi="Trebuchet MS"/>
          <w:b/>
          <w:iCs/>
          <w:color w:val="000000" w:themeColor="text1"/>
          <w:lang w:val="ro-RO"/>
        </w:rPr>
        <w:t>Tip de sprijin (non-IACS) sau angajamente (IACS) și alte obligații</w:t>
      </w:r>
    </w:p>
    <w:p w14:paraId="209A6F7E" w14:textId="45B79B9C" w:rsidR="001B426C" w:rsidRPr="00730000" w:rsidRDefault="0089790E" w:rsidP="001B426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730000">
        <w:rPr>
          <w:rFonts w:ascii="Trebuchet MS" w:eastAsia="Times New Roman" w:hAnsi="Trebuchet MS" w:cstheme="minorHAnsi"/>
          <w:color w:val="000000" w:themeColor="text1"/>
          <w:lang w:val="ro-RO"/>
        </w:rPr>
        <w:t>Non IACS</w:t>
      </w:r>
    </w:p>
    <w:p w14:paraId="2FD99580" w14:textId="0C93F3D2" w:rsidR="00AC212F" w:rsidRPr="00730000" w:rsidRDefault="00AC212F" w:rsidP="001B426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bookmarkStart w:id="144" w:name="_Hlk91611093"/>
      <w:proofErr w:type="spellStart"/>
      <w:r w:rsidRPr="00730000">
        <w:rPr>
          <w:rFonts w:ascii="Trebuchet MS" w:eastAsia="Times New Roman" w:hAnsi="Trebuchet MS" w:cstheme="minorHAnsi"/>
          <w:color w:val="000000" w:themeColor="text1"/>
        </w:rPr>
        <w:t>Primele</w:t>
      </w:r>
      <w:proofErr w:type="spellEnd"/>
      <w:r w:rsidRPr="00730000">
        <w:rPr>
          <w:rFonts w:ascii="Trebuchet MS" w:eastAsia="Times New Roman" w:hAnsi="Trebuchet MS" w:cstheme="minorHAnsi"/>
          <w:color w:val="000000" w:themeColor="text1"/>
        </w:rPr>
        <w:t xml:space="preserve"> de </w:t>
      </w:r>
      <w:proofErr w:type="spellStart"/>
      <w:r w:rsidRPr="00730000">
        <w:rPr>
          <w:rFonts w:ascii="Trebuchet MS" w:eastAsia="Times New Roman" w:hAnsi="Trebuchet MS" w:cstheme="minorHAnsi"/>
          <w:color w:val="000000" w:themeColor="text1"/>
        </w:rPr>
        <w:t>asigurare</w:t>
      </w:r>
      <w:proofErr w:type="spellEnd"/>
      <w:r w:rsidRPr="00730000">
        <w:rPr>
          <w:rFonts w:ascii="Trebuchet MS" w:eastAsia="Times New Roman" w:hAnsi="Trebuchet MS" w:cstheme="minorHAnsi"/>
          <w:color w:val="000000" w:themeColor="text1"/>
        </w:rPr>
        <w:t xml:space="preserve"> a </w:t>
      </w:r>
      <w:proofErr w:type="spellStart"/>
      <w:r w:rsidRPr="00730000">
        <w:rPr>
          <w:rFonts w:ascii="Trebuchet MS" w:eastAsia="Times New Roman" w:hAnsi="Trebuchet MS" w:cstheme="minorHAnsi"/>
          <w:color w:val="000000" w:themeColor="text1"/>
        </w:rPr>
        <w:t>producției</w:t>
      </w:r>
      <w:proofErr w:type="spellEnd"/>
      <w:r w:rsidRPr="00730000">
        <w:rPr>
          <w:rFonts w:ascii="Trebuchet MS" w:eastAsia="Times New Roman" w:hAnsi="Trebuchet MS" w:cstheme="minorHAnsi"/>
          <w:color w:val="000000" w:themeColor="text1"/>
        </w:rPr>
        <w:t xml:space="preserve"> </w:t>
      </w:r>
      <w:proofErr w:type="spellStart"/>
      <w:r w:rsidRPr="00730000">
        <w:rPr>
          <w:rFonts w:ascii="Trebuchet MS" w:eastAsia="Times New Roman" w:hAnsi="Trebuchet MS" w:cstheme="minorHAnsi"/>
          <w:color w:val="000000" w:themeColor="text1"/>
        </w:rPr>
        <w:t>agricole</w:t>
      </w:r>
      <w:proofErr w:type="spellEnd"/>
    </w:p>
    <w:bookmarkEnd w:id="144"/>
    <w:p w14:paraId="0490522D" w14:textId="77777777" w:rsidR="00C22FBE" w:rsidRPr="00730000" w:rsidRDefault="00C22FBE" w:rsidP="0005178E">
      <w:pPr>
        <w:keepNext/>
        <w:numPr>
          <w:ilvl w:val="2"/>
          <w:numId w:val="7"/>
        </w:numPr>
        <w:spacing w:before="120" w:after="120" w:line="240" w:lineRule="auto"/>
        <w:ind w:left="737" w:hanging="737"/>
        <w:jc w:val="both"/>
        <w:outlineLvl w:val="2"/>
        <w:rPr>
          <w:rFonts w:ascii="Trebuchet MS" w:hAnsi="Trebuchet MS"/>
          <w:b/>
          <w:bCs/>
          <w:color w:val="000000" w:themeColor="text1"/>
          <w:lang w:val="ro-RO"/>
        </w:rPr>
      </w:pPr>
      <w:r w:rsidRPr="00730000">
        <w:rPr>
          <w:rFonts w:ascii="Trebuchet MS" w:hAnsi="Trebuchet MS"/>
          <w:b/>
          <w:bCs/>
          <w:color w:val="000000" w:themeColor="text1"/>
          <w:lang w:val="ro-RO"/>
        </w:rPr>
        <w:t>Tipul și intensitatea sprijinului</w:t>
      </w:r>
    </w:p>
    <w:tbl>
      <w:tblPr>
        <w:tblStyle w:val="TableGrid1"/>
        <w:tblW w:w="10207" w:type="dxa"/>
        <w:tblInd w:w="-147" w:type="dxa"/>
        <w:tblLook w:val="04A0" w:firstRow="1" w:lastRow="0" w:firstColumn="1" w:lastColumn="0" w:noHBand="0" w:noVBand="1"/>
      </w:tblPr>
      <w:tblGrid>
        <w:gridCol w:w="2360"/>
        <w:gridCol w:w="7847"/>
      </w:tblGrid>
      <w:tr w:rsidR="00730000" w:rsidRPr="00730000" w14:paraId="2454A56A" w14:textId="77777777" w:rsidTr="00003FDF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A14B" w14:textId="77777777" w:rsidR="00A542B2" w:rsidRPr="00730000" w:rsidRDefault="00A542B2" w:rsidP="001B426C">
            <w:pPr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BC40" w14:textId="4E3A49E8" w:rsidR="00A542B2" w:rsidRPr="00730000" w:rsidRDefault="00003FDF" w:rsidP="001B426C">
            <w:pPr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 xml:space="preserve">Dacă este </w:t>
            </w:r>
            <w:r w:rsidR="00A542B2" w:rsidRPr="00730000"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NON IACS</w:t>
            </w:r>
          </w:p>
        </w:tc>
      </w:tr>
      <w:tr w:rsidR="00730000" w:rsidRPr="00730000" w14:paraId="462646D2" w14:textId="77777777" w:rsidTr="00003FDF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A69A" w14:textId="3BE726F8" w:rsidR="00A542B2" w:rsidRPr="00730000" w:rsidRDefault="00D25355" w:rsidP="001B426C">
            <w:pPr>
              <w:jc w:val="both"/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Forma sprijinului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2298" w14:textId="19FBC080" w:rsidR="00A542B2" w:rsidRPr="00730000" w:rsidRDefault="00A84FFE" w:rsidP="0055774B">
            <w:pPr>
              <w:spacing w:after="240" w:line="276" w:lineRule="auto"/>
              <w:ind w:firstLine="217"/>
              <w:contextualSpacing/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>X</w:t>
            </w:r>
            <w:r w:rsidR="0055774B" w:rsidRPr="00730000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 xml:space="preserve">  </w:t>
            </w:r>
            <w:r w:rsidR="00A542B2" w:rsidRPr="00730000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 xml:space="preserve">Grant </w:t>
            </w:r>
          </w:p>
          <w:p w14:paraId="7C3DDC74" w14:textId="6C3F5456" w:rsidR="00A84FFE" w:rsidRPr="00730000" w:rsidRDefault="00A84FFE" w:rsidP="0005178E">
            <w:pPr>
              <w:pStyle w:val="ListParagraph"/>
              <w:numPr>
                <w:ilvl w:val="3"/>
                <w:numId w:val="14"/>
              </w:numPr>
              <w:tabs>
                <w:tab w:val="left" w:pos="487"/>
              </w:tabs>
              <w:spacing w:line="276" w:lineRule="auto"/>
              <w:ind w:hanging="2663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Instrument financiar</w:t>
            </w:r>
          </w:p>
          <w:p w14:paraId="68E6F416" w14:textId="77777777" w:rsidR="00A542B2" w:rsidRPr="00730000" w:rsidRDefault="00A542B2" w:rsidP="00FB4977">
            <w:pPr>
              <w:spacing w:after="240"/>
              <w:contextualSpacing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730000" w:rsidRPr="00730000" w14:paraId="270EDEB6" w14:textId="77777777" w:rsidTr="00003FDF">
        <w:trPr>
          <w:trHeight w:val="138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809" w14:textId="0E14DADC" w:rsidR="00A542B2" w:rsidRPr="00730000" w:rsidRDefault="00D25355" w:rsidP="001B426C">
            <w:pPr>
              <w:jc w:val="both"/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 xml:space="preserve">Tipul </w:t>
            </w:r>
            <w:r w:rsidR="0049212E" w:rsidRPr="00730000"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sprijinului</w:t>
            </w:r>
          </w:p>
          <w:p w14:paraId="1CDC11A1" w14:textId="77777777" w:rsidR="00A542B2" w:rsidRPr="00730000" w:rsidRDefault="00A542B2" w:rsidP="001B426C">
            <w:pPr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</w:p>
          <w:p w14:paraId="419D1798" w14:textId="77777777" w:rsidR="00A542B2" w:rsidRPr="00730000" w:rsidRDefault="00A542B2" w:rsidP="001B426C">
            <w:pPr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EE59" w14:textId="4FC7E7B8" w:rsidR="00A542B2" w:rsidRPr="00730000" w:rsidRDefault="00A84FFE" w:rsidP="00003FDF">
            <w:pPr>
              <w:spacing w:line="276" w:lineRule="auto"/>
              <w:ind w:left="507" w:hanging="283"/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 xml:space="preserve">X </w:t>
            </w:r>
            <w:r w:rsidR="0055774B" w:rsidRPr="00730000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="0049212E" w:rsidRPr="00730000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>R</w:t>
            </w:r>
            <w:r w:rsidR="00A542B2" w:rsidRPr="00730000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>ambursarea costurilor eligibile efectiv suportate de către beneficiar</w:t>
            </w:r>
          </w:p>
          <w:p w14:paraId="3647CB4C" w14:textId="77777777" w:rsidR="00A84FFE" w:rsidRPr="00730000" w:rsidRDefault="00A84FFE" w:rsidP="0005178E">
            <w:pPr>
              <w:pStyle w:val="ListParagraph"/>
              <w:numPr>
                <w:ilvl w:val="3"/>
                <w:numId w:val="14"/>
              </w:numPr>
              <w:tabs>
                <w:tab w:val="left" w:pos="487"/>
              </w:tabs>
              <w:spacing w:line="276" w:lineRule="auto"/>
              <w:ind w:hanging="2663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 w:cstheme="minorHAnsi"/>
                <w:color w:val="000000" w:themeColor="text1"/>
                <w:lang w:val="ro-RO"/>
              </w:rPr>
              <w:t>Cost unitar</w:t>
            </w:r>
          </w:p>
          <w:p w14:paraId="1B279A5A" w14:textId="77777777" w:rsidR="00A84FFE" w:rsidRPr="00730000" w:rsidRDefault="00A84FFE" w:rsidP="0005178E">
            <w:pPr>
              <w:pStyle w:val="ListParagraph"/>
              <w:numPr>
                <w:ilvl w:val="3"/>
                <w:numId w:val="14"/>
              </w:numPr>
              <w:tabs>
                <w:tab w:val="left" w:pos="487"/>
              </w:tabs>
              <w:spacing w:line="276" w:lineRule="auto"/>
              <w:ind w:hanging="2663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 w:cstheme="minorHAnsi"/>
                <w:color w:val="000000" w:themeColor="text1"/>
                <w:lang w:val="ro-RO"/>
              </w:rPr>
              <w:t>Sumă forfetară</w:t>
            </w:r>
          </w:p>
          <w:p w14:paraId="4E74C1A5" w14:textId="77DFA30E" w:rsidR="00A84FFE" w:rsidRPr="00730000" w:rsidRDefault="00003FDF" w:rsidP="0005178E">
            <w:pPr>
              <w:pStyle w:val="ListParagraph"/>
              <w:numPr>
                <w:ilvl w:val="3"/>
                <w:numId w:val="14"/>
              </w:numPr>
              <w:tabs>
                <w:tab w:val="left" w:pos="487"/>
              </w:tabs>
              <w:spacing w:line="276" w:lineRule="auto"/>
              <w:ind w:hanging="2663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 w:cstheme="minorHAnsi"/>
                <w:color w:val="000000" w:themeColor="text1"/>
                <w:lang w:val="ro-RO"/>
              </w:rPr>
              <w:t>Finanțare</w:t>
            </w:r>
            <w:r w:rsidR="00AC1C73" w:rsidRPr="00730000">
              <w:rPr>
                <w:rFonts w:ascii="Trebuchet MS" w:hAnsi="Trebuchet MS" w:cstheme="minorHAnsi"/>
                <w:color w:val="000000" w:themeColor="text1"/>
                <w:lang w:val="ro-RO"/>
              </w:rPr>
              <w:t xml:space="preserve"> la rate</w:t>
            </w:r>
            <w:r w:rsidR="00A84FFE" w:rsidRPr="00730000">
              <w:rPr>
                <w:rFonts w:ascii="Trebuchet MS" w:hAnsi="Trebuchet MS" w:cstheme="minorHAnsi"/>
                <w:color w:val="000000" w:themeColor="text1"/>
                <w:lang w:val="ro-RO"/>
              </w:rPr>
              <w:t xml:space="preserve"> forfetar</w:t>
            </w:r>
            <w:r w:rsidR="00AC1C73" w:rsidRPr="00730000">
              <w:rPr>
                <w:rFonts w:ascii="Trebuchet MS" w:hAnsi="Trebuchet MS" w:cstheme="minorHAnsi"/>
                <w:color w:val="000000" w:themeColor="text1"/>
                <w:lang w:val="ro-RO"/>
              </w:rPr>
              <w:t>e</w:t>
            </w:r>
          </w:p>
          <w:p w14:paraId="662A94C9" w14:textId="77777777" w:rsidR="00A542B2" w:rsidRPr="00730000" w:rsidRDefault="00A542B2" w:rsidP="00A84FFE">
            <w:pPr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730000" w:rsidRPr="00730000" w14:paraId="458F46E5" w14:textId="77777777" w:rsidTr="00003FDF">
        <w:trPr>
          <w:trHeight w:val="51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AA8D" w14:textId="63AF50EC" w:rsidR="0049212E" w:rsidRPr="00730000" w:rsidRDefault="00AC1C73" w:rsidP="0049212E">
            <w:pPr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val="ro-RO"/>
              </w:rPr>
              <w:t>Rata sprijinului</w:t>
            </w:r>
          </w:p>
          <w:p w14:paraId="0082ACDC" w14:textId="6A1EDA18" w:rsidR="00A542B2" w:rsidRPr="00730000" w:rsidRDefault="00A542B2" w:rsidP="001B426C">
            <w:pPr>
              <w:jc w:val="both"/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AF63" w14:textId="3AD6FE9A" w:rsidR="00A542B2" w:rsidRPr="00730000" w:rsidRDefault="000E5136" w:rsidP="000E5136">
            <w:pP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Sprijinul public nerambursabil reprezintă</w:t>
            </w:r>
            <w:r w:rsidRPr="00730000">
              <w:rPr>
                <w:rFonts w:ascii="Trebuchet MS" w:hAnsi="Trebuchet MS" w:cstheme="minorHAnsi"/>
                <w:color w:val="000000" w:themeColor="text1"/>
                <w:lang w:val="en-US"/>
              </w:rPr>
              <w:t xml:space="preserve"> </w:t>
            </w:r>
            <w:r w:rsidR="00C96BA5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50</w:t>
            </w:r>
            <w:r w:rsidR="00AC1C73"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 % din costurile </w:t>
            </w:r>
            <w:r w:rsidR="00003FDF" w:rsidRPr="0073000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eligibile</w:t>
            </w:r>
          </w:p>
        </w:tc>
      </w:tr>
    </w:tbl>
    <w:p w14:paraId="06E9CEBB" w14:textId="629A397E" w:rsidR="00A542B2" w:rsidRPr="00730000" w:rsidRDefault="00AC6617" w:rsidP="0005178E">
      <w:pPr>
        <w:keepNext/>
        <w:numPr>
          <w:ilvl w:val="2"/>
          <w:numId w:val="7"/>
        </w:numPr>
        <w:tabs>
          <w:tab w:val="num" w:pos="1361"/>
        </w:tabs>
        <w:spacing w:before="120" w:after="120" w:line="240" w:lineRule="auto"/>
        <w:ind w:left="737" w:hanging="737"/>
        <w:jc w:val="both"/>
        <w:outlineLvl w:val="2"/>
        <w:rPr>
          <w:rFonts w:ascii="Trebuchet MS" w:hAnsi="Trebuchet MS"/>
          <w:b/>
          <w:bCs/>
          <w:color w:val="000000" w:themeColor="text1"/>
          <w:lang w:val="ro-RO"/>
        </w:rPr>
      </w:pPr>
      <w:bookmarkStart w:id="145" w:name="_Toc72171345"/>
      <w:bookmarkStart w:id="146" w:name="_Toc72171901"/>
      <w:bookmarkStart w:id="147" w:name="_Toc72172457"/>
      <w:bookmarkStart w:id="148" w:name="_Toc72172662"/>
      <w:bookmarkStart w:id="149" w:name="_Toc72173214"/>
      <w:bookmarkStart w:id="150" w:name="_Toc72173766"/>
      <w:bookmarkStart w:id="151" w:name="_Toc72174318"/>
      <w:bookmarkStart w:id="152" w:name="_Toc72174870"/>
      <w:bookmarkStart w:id="153" w:name="_Toc72175422"/>
      <w:bookmarkStart w:id="154" w:name="_Toc72175974"/>
      <w:bookmarkStart w:id="155" w:name="_Toc72176178"/>
      <w:bookmarkStart w:id="156" w:name="_Toc72176729"/>
      <w:bookmarkStart w:id="157" w:name="_Toc72177280"/>
      <w:bookmarkStart w:id="158" w:name="_Toc72177831"/>
      <w:bookmarkStart w:id="159" w:name="_Toc72178382"/>
      <w:bookmarkStart w:id="160" w:name="_Toc72178933"/>
      <w:bookmarkStart w:id="161" w:name="_Toc72179484"/>
      <w:bookmarkStart w:id="162" w:name="_Toc72180035"/>
      <w:bookmarkStart w:id="163" w:name="_Toc72180588"/>
      <w:bookmarkStart w:id="164" w:name="_Toc72181147"/>
      <w:bookmarkStart w:id="165" w:name="_Toc72181706"/>
      <w:bookmarkStart w:id="166" w:name="_Toc72182265"/>
      <w:bookmarkStart w:id="167" w:name="_Toc72182824"/>
      <w:bookmarkStart w:id="168" w:name="_Toc72183383"/>
      <w:bookmarkStart w:id="169" w:name="_Toc72429723"/>
      <w:bookmarkStart w:id="170" w:name="_Toc72513919"/>
      <w:bookmarkStart w:id="171" w:name="_Toc72514422"/>
      <w:bookmarkStart w:id="172" w:name="_Toc72935198"/>
      <w:bookmarkStart w:id="173" w:name="_Toc77173509"/>
      <w:bookmarkStart w:id="174" w:name="_Toc77675108"/>
      <w:bookmarkStart w:id="175" w:name="_Toc78293408"/>
      <w:bookmarkStart w:id="176" w:name="_Toc78296351"/>
      <w:bookmarkStart w:id="177" w:name="_Toc78379356"/>
      <w:bookmarkStart w:id="178" w:name="_Toc78385008"/>
      <w:bookmarkStart w:id="179" w:name="_Toc78389868"/>
      <w:bookmarkStart w:id="180" w:name="_Toc81568697"/>
      <w:bookmarkStart w:id="181" w:name="_Toc81569485"/>
      <w:bookmarkStart w:id="182" w:name="_Toc81572470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r w:rsidRPr="00730000">
        <w:rPr>
          <w:rFonts w:ascii="Trebuchet MS" w:hAnsi="Trebuchet MS"/>
          <w:b/>
          <w:bCs/>
          <w:color w:val="000000" w:themeColor="text1"/>
          <w:lang w:val="ro-RO"/>
        </w:rPr>
        <w:lastRenderedPageBreak/>
        <w:t>Cu</w:t>
      </w:r>
      <w:bookmarkStart w:id="183" w:name="_GoBack"/>
      <w:bookmarkEnd w:id="183"/>
      <w:r w:rsidRPr="00730000">
        <w:rPr>
          <w:rFonts w:ascii="Trebuchet MS" w:hAnsi="Trebuchet MS"/>
          <w:b/>
          <w:bCs/>
          <w:color w:val="000000" w:themeColor="text1"/>
          <w:lang w:val="ro-RO"/>
        </w:rPr>
        <w:t>antumul unitar</w:t>
      </w:r>
      <w:r w:rsidR="003D5031" w:rsidRPr="00730000">
        <w:rPr>
          <w:rFonts w:ascii="Trebuchet MS" w:hAnsi="Trebuchet MS"/>
          <w:b/>
          <w:bCs/>
          <w:color w:val="000000" w:themeColor="text1"/>
          <w:lang w:val="ro-RO"/>
        </w:rPr>
        <w:t xml:space="preserve"> </w:t>
      </w:r>
      <w:r w:rsidR="00A542B2" w:rsidRPr="00730000">
        <w:rPr>
          <w:rFonts w:ascii="Trebuchet MS" w:hAnsi="Trebuchet MS"/>
          <w:b/>
          <w:bCs/>
          <w:color w:val="000000" w:themeColor="text1"/>
          <w:lang w:val="ro-RO"/>
        </w:rPr>
        <w:t>planificat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7"/>
        <w:gridCol w:w="7306"/>
      </w:tblGrid>
      <w:tr w:rsidR="00730000" w:rsidRPr="00730000" w14:paraId="73C03A99" w14:textId="77777777" w:rsidTr="000E0044">
        <w:tc>
          <w:tcPr>
            <w:tcW w:w="2747" w:type="dxa"/>
          </w:tcPr>
          <w:p w14:paraId="22F0C4D1" w14:textId="2F17C023" w:rsidR="00A542B2" w:rsidRPr="00730000" w:rsidRDefault="00A542B2" w:rsidP="00AC6617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Cod </w:t>
            </w:r>
            <w:r w:rsidR="00AC6617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cuantum</w:t>
            </w:r>
            <w:r w:rsidR="003D5031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unitar</w:t>
            </w:r>
          </w:p>
        </w:tc>
        <w:tc>
          <w:tcPr>
            <w:tcW w:w="7307" w:type="dxa"/>
          </w:tcPr>
          <w:p w14:paraId="09BB5BDF" w14:textId="5E6B896E" w:rsidR="00A542B2" w:rsidRPr="00730000" w:rsidRDefault="00A542B2" w:rsidP="000E0044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</w:tr>
      <w:tr w:rsidR="00730000" w:rsidRPr="00730000" w14:paraId="57AC7A65" w14:textId="77777777" w:rsidTr="000E0044">
        <w:tc>
          <w:tcPr>
            <w:tcW w:w="2747" w:type="dxa"/>
          </w:tcPr>
          <w:p w14:paraId="3094EF74" w14:textId="6910E79A" w:rsidR="00A542B2" w:rsidRPr="00730000" w:rsidRDefault="00A542B2" w:rsidP="003D5031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Cod </w:t>
            </w:r>
            <w:r w:rsidR="003D5031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bugetar</w:t>
            </w:r>
          </w:p>
        </w:tc>
        <w:tc>
          <w:tcPr>
            <w:tcW w:w="7307" w:type="dxa"/>
          </w:tcPr>
          <w:p w14:paraId="5CB2EFF5" w14:textId="4891EB11" w:rsidR="00A542B2" w:rsidRPr="00730000" w:rsidRDefault="00A542B2" w:rsidP="000E0044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</w:tr>
      <w:tr w:rsidR="00730000" w:rsidRPr="00730000" w14:paraId="064E3BDB" w14:textId="77777777" w:rsidTr="000E0044">
        <w:tc>
          <w:tcPr>
            <w:tcW w:w="2747" w:type="dxa"/>
          </w:tcPr>
          <w:p w14:paraId="0EE06038" w14:textId="5E9CA9D8" w:rsidR="00A542B2" w:rsidRPr="00730000" w:rsidRDefault="00A542B2" w:rsidP="00AC6617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Denumire </w:t>
            </w:r>
            <w:r w:rsidR="003D5031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cuant</w:t>
            </w:r>
            <w:r w:rsidR="00AC6617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um unitar planificat</w:t>
            </w:r>
          </w:p>
        </w:tc>
        <w:tc>
          <w:tcPr>
            <w:tcW w:w="7307" w:type="dxa"/>
          </w:tcPr>
          <w:p w14:paraId="50D7EA8E" w14:textId="4B98CBE5" w:rsidR="00A542B2" w:rsidRPr="00730000" w:rsidRDefault="00070F94" w:rsidP="003D5031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Prima</w:t>
            </w:r>
            <w:r w:rsidR="00003FDF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de asigurare</w:t>
            </w: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medie anuală sprijinit</w:t>
            </w:r>
            <w:r w:rsidR="00003FDF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ă</w:t>
            </w:r>
            <w:r w:rsidR="00A542B2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</w:t>
            </w:r>
          </w:p>
        </w:tc>
      </w:tr>
      <w:tr w:rsidR="00730000" w:rsidRPr="00730000" w14:paraId="036636D6" w14:textId="77777777" w:rsidTr="000E0044">
        <w:tc>
          <w:tcPr>
            <w:tcW w:w="2747" w:type="dxa"/>
          </w:tcPr>
          <w:p w14:paraId="025AF41D" w14:textId="750855F7" w:rsidR="00A542B2" w:rsidRPr="00730000" w:rsidRDefault="003D5031" w:rsidP="000E0044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Tipul </w:t>
            </w:r>
            <w:r w:rsidR="00A542B2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sprijin</w:t>
            </w: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ului</w:t>
            </w:r>
          </w:p>
        </w:tc>
        <w:tc>
          <w:tcPr>
            <w:tcW w:w="7307" w:type="dxa"/>
          </w:tcPr>
          <w:p w14:paraId="756710D3" w14:textId="75401F74" w:rsidR="008B0657" w:rsidRPr="00730000" w:rsidRDefault="003D5031" w:rsidP="003D5031">
            <w:pPr>
              <w:pStyle w:val="ListParagraph"/>
              <w:spacing w:before="60" w:after="60" w:line="276" w:lineRule="auto"/>
              <w:ind w:left="746" w:hanging="343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X   </w:t>
            </w:r>
            <w:r w:rsidR="008B0657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Grant</w:t>
            </w:r>
          </w:p>
          <w:p w14:paraId="5BD6D040" w14:textId="5B001A43" w:rsidR="003D5031" w:rsidRPr="00730000" w:rsidRDefault="003D5031" w:rsidP="0005178E">
            <w:pPr>
              <w:pStyle w:val="ListParagraph"/>
              <w:numPr>
                <w:ilvl w:val="0"/>
                <w:numId w:val="10"/>
              </w:numPr>
              <w:spacing w:before="60" w:after="60" w:line="276" w:lineRule="auto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>Instrument financiar</w:t>
            </w:r>
          </w:p>
          <w:p w14:paraId="7653AECF" w14:textId="6250879A" w:rsidR="001C710F" w:rsidRPr="00730000" w:rsidRDefault="001C710F" w:rsidP="00826DAD">
            <w:pPr>
              <w:pStyle w:val="ListParagraph"/>
              <w:spacing w:before="60" w:after="60"/>
              <w:ind w:left="746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</w:tr>
      <w:tr w:rsidR="00730000" w:rsidRPr="00730000" w14:paraId="348E82BA" w14:textId="77777777" w:rsidTr="000E0044">
        <w:tc>
          <w:tcPr>
            <w:tcW w:w="2747" w:type="dxa"/>
          </w:tcPr>
          <w:p w14:paraId="03526F10" w14:textId="73780BCB" w:rsidR="00A542B2" w:rsidRPr="00730000" w:rsidRDefault="00A542B2" w:rsidP="00AC6617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Tipul </w:t>
            </w:r>
            <w:r w:rsidR="00AC6617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cuantumului unitar</w:t>
            </w:r>
            <w:r w:rsidR="003D5031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planificat </w:t>
            </w:r>
          </w:p>
        </w:tc>
        <w:tc>
          <w:tcPr>
            <w:tcW w:w="7307" w:type="dxa"/>
          </w:tcPr>
          <w:p w14:paraId="2DA508A3" w14:textId="0F0B22F3" w:rsidR="00A542B2" w:rsidRPr="00730000" w:rsidRDefault="008B0657" w:rsidP="0042073B">
            <w:pPr>
              <w:spacing w:before="60" w:after="60"/>
              <w:rPr>
                <w:rFonts w:ascii="Trebuchet MS" w:hAnsi="Trebuchet MS" w:cs="Arial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 w:cs="Arial"/>
                <w:color w:val="000000" w:themeColor="text1"/>
                <w:lang w:val="ro-RO"/>
              </w:rPr>
              <w:t xml:space="preserve">      </w:t>
            </w:r>
            <w:r w:rsidR="00A542B2" w:rsidRPr="00730000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="00B36DAA" w:rsidRPr="00730000">
              <w:rPr>
                <w:rFonts w:ascii="Trebuchet MS" w:hAnsi="Trebuchet MS" w:cs="Arial"/>
                <w:color w:val="000000" w:themeColor="text1"/>
                <w:lang w:val="ro-RO"/>
              </w:rPr>
              <w:t xml:space="preserve"> </w:t>
            </w:r>
            <w:r w:rsidR="003D5031" w:rsidRPr="00730000">
              <w:rPr>
                <w:rFonts w:ascii="Trebuchet MS" w:hAnsi="Trebuchet MS" w:cs="Arial"/>
                <w:color w:val="000000" w:themeColor="text1"/>
                <w:lang w:val="ro-RO"/>
              </w:rPr>
              <w:t xml:space="preserve"> Uniformă</w:t>
            </w:r>
          </w:p>
          <w:p w14:paraId="73022691" w14:textId="1155437F" w:rsidR="003D5031" w:rsidRPr="00730000" w:rsidRDefault="003D5031" w:rsidP="003D5031">
            <w:pPr>
              <w:spacing w:before="60" w:after="60"/>
              <w:ind w:firstLine="403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 w:cs="Arial"/>
                <w:b/>
                <w:color w:val="000000" w:themeColor="text1"/>
                <w:lang w:val="ro-RO"/>
              </w:rPr>
              <w:t>X  Medie</w:t>
            </w:r>
          </w:p>
        </w:tc>
      </w:tr>
      <w:tr w:rsidR="00730000" w:rsidRPr="00730000" w14:paraId="055B451D" w14:textId="77777777" w:rsidTr="000E0044">
        <w:tc>
          <w:tcPr>
            <w:tcW w:w="2747" w:type="dxa"/>
          </w:tcPr>
          <w:p w14:paraId="181B306A" w14:textId="58461CA1" w:rsidR="00A542B2" w:rsidRPr="00730000" w:rsidRDefault="00AC6617" w:rsidP="00AC6617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Indicatorul</w:t>
            </w:r>
            <w:r w:rsidR="00A542B2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de  realizare </w:t>
            </w:r>
          </w:p>
        </w:tc>
        <w:tc>
          <w:tcPr>
            <w:tcW w:w="7307" w:type="dxa"/>
          </w:tcPr>
          <w:p w14:paraId="661D192A" w14:textId="191B6A13" w:rsidR="00A542B2" w:rsidRPr="00730000" w:rsidRDefault="0055774B" w:rsidP="0055774B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O 9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Număr de </w:t>
            </w:r>
            <w:r w:rsidR="00003FDF" w:rsidRPr="00730000">
              <w:rPr>
                <w:rFonts w:ascii="Trebuchet MS" w:hAnsi="Trebuchet MS"/>
                <w:color w:val="000000" w:themeColor="text1"/>
                <w:lang w:val="ro-RO"/>
              </w:rPr>
              <w:t>unități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acoperite de instrumente de gestionare a riscurilor care beneficiază de sprijin în cadrul PAC</w:t>
            </w:r>
          </w:p>
        </w:tc>
      </w:tr>
      <w:tr w:rsidR="00730000" w:rsidRPr="00730000" w14:paraId="29C5F3E6" w14:textId="77777777" w:rsidTr="000E0044">
        <w:tc>
          <w:tcPr>
            <w:tcW w:w="2747" w:type="dxa"/>
          </w:tcPr>
          <w:p w14:paraId="19772FBF" w14:textId="667E68F5" w:rsidR="00A542B2" w:rsidRPr="00730000" w:rsidRDefault="00A542B2" w:rsidP="00AC6617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Explicații și justificări legate de </w:t>
            </w:r>
            <w:r w:rsidR="00AC6617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cuantumul unitar planificat</w:t>
            </w:r>
          </w:p>
        </w:tc>
        <w:tc>
          <w:tcPr>
            <w:tcW w:w="7307" w:type="dxa"/>
          </w:tcPr>
          <w:p w14:paraId="0C6F6D6F" w14:textId="69B7E044" w:rsidR="00A542B2" w:rsidRPr="00730000" w:rsidRDefault="00AC6617" w:rsidP="00AC6617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>Cuantumul unitar planificat este stabilit</w:t>
            </w:r>
            <w:r w:rsidR="00627720"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p</w:t>
            </w:r>
            <w:r w:rsidR="00A542B2"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e baza experienței în implementarea 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sub-măsurii 17.1 </w:t>
            </w:r>
            <w:r w:rsidR="00003FDF" w:rsidRPr="00730000">
              <w:rPr>
                <w:rFonts w:ascii="Trebuchet MS" w:hAnsi="Trebuchet MS"/>
                <w:color w:val="000000" w:themeColor="text1"/>
                <w:lang w:val="ro-RO"/>
              </w:rPr>
              <w:t>Contribuții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la prime de asigurare pentru cultur</w:t>
            </w:r>
            <w:r w:rsidR="00003FDF" w:rsidRPr="00730000">
              <w:rPr>
                <w:rFonts w:ascii="Trebuchet MS" w:hAnsi="Trebuchet MS"/>
                <w:color w:val="000000" w:themeColor="text1"/>
                <w:lang w:val="ro-RO"/>
              </w:rPr>
              <w:t>i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>, plante şi animale.</w:t>
            </w:r>
          </w:p>
        </w:tc>
      </w:tr>
      <w:tr w:rsidR="00730000" w:rsidRPr="00730000" w14:paraId="0787F612" w14:textId="77777777" w:rsidTr="000E0044">
        <w:tc>
          <w:tcPr>
            <w:tcW w:w="2747" w:type="dxa"/>
          </w:tcPr>
          <w:p w14:paraId="18D9F428" w14:textId="4298AC24" w:rsidR="00A542B2" w:rsidRPr="00730000" w:rsidRDefault="00A542B2" w:rsidP="000E0044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Rata contribuției</w:t>
            </w:r>
            <w:r w:rsidR="0055774B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-Regiuni</w:t>
            </w:r>
          </w:p>
        </w:tc>
        <w:tc>
          <w:tcPr>
            <w:tcW w:w="7307" w:type="dxa"/>
          </w:tcPr>
          <w:p w14:paraId="4392BB77" w14:textId="408A1EDB" w:rsidR="00A542B2" w:rsidRPr="00730000" w:rsidRDefault="00AC6617" w:rsidP="00AC6617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>85%</w:t>
            </w:r>
            <w:r w:rsidR="0055774B"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- Regiuni mai </w:t>
            </w:r>
            <w:r w:rsidR="00003FDF" w:rsidRPr="00730000">
              <w:rPr>
                <w:rFonts w:ascii="Trebuchet MS" w:hAnsi="Trebuchet MS"/>
                <w:color w:val="000000" w:themeColor="text1"/>
                <w:lang w:val="ro-RO"/>
              </w:rPr>
              <w:t>puțin</w:t>
            </w:r>
            <w:r w:rsidR="0055774B"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dezvoltate</w:t>
            </w:r>
          </w:p>
          <w:p w14:paraId="3031F4C5" w14:textId="4A2276EA" w:rsidR="00AC6617" w:rsidRPr="00730000" w:rsidRDefault="00AC6617" w:rsidP="0055774B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43% </w:t>
            </w:r>
            <w:r w:rsidR="0055774B" w:rsidRPr="00730000">
              <w:rPr>
                <w:rFonts w:ascii="Trebuchet MS" w:hAnsi="Trebuchet MS"/>
                <w:color w:val="000000" w:themeColor="text1"/>
                <w:lang w:val="ro-RO"/>
              </w:rPr>
              <w:t>Alte regiuni (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regiunea </w:t>
            </w:r>
            <w:r w:rsidR="00003FDF" w:rsidRPr="00730000">
              <w:rPr>
                <w:rFonts w:ascii="Trebuchet MS" w:hAnsi="Trebuchet MS"/>
                <w:color w:val="000000" w:themeColor="text1"/>
                <w:lang w:val="ro-RO"/>
              </w:rPr>
              <w:t>București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>-Ilfov</w:t>
            </w:r>
            <w:r w:rsidR="0055774B" w:rsidRPr="00730000">
              <w:rPr>
                <w:rFonts w:ascii="Trebuchet MS" w:hAnsi="Trebuchet MS"/>
                <w:color w:val="000000" w:themeColor="text1"/>
                <w:lang w:val="ro-RO"/>
              </w:rPr>
              <w:t>)</w:t>
            </w:r>
          </w:p>
        </w:tc>
      </w:tr>
      <w:tr w:rsidR="00730000" w:rsidRPr="00730000" w14:paraId="2226C88B" w14:textId="77777777" w:rsidTr="000E0044">
        <w:tc>
          <w:tcPr>
            <w:tcW w:w="2747" w:type="dxa"/>
          </w:tcPr>
          <w:p w14:paraId="05F7D57A" w14:textId="6F2EAA48" w:rsidR="00A542B2" w:rsidRPr="00730000" w:rsidRDefault="00A542B2" w:rsidP="000E0044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Indicator de rezultat </w:t>
            </w:r>
          </w:p>
        </w:tc>
        <w:tc>
          <w:tcPr>
            <w:tcW w:w="7307" w:type="dxa"/>
          </w:tcPr>
          <w:p w14:paraId="0FC560FF" w14:textId="65998D57" w:rsidR="00A542B2" w:rsidRPr="00730000" w:rsidRDefault="0055774B" w:rsidP="00003FDF">
            <w:pPr>
              <w:spacing w:before="60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R.5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Ponderea fermelor agricole acoperite de instrumente de gestionare a riscurilor care  beneficiază  de sprijin în cadrul PAC</w:t>
            </w:r>
          </w:p>
        </w:tc>
      </w:tr>
      <w:tr w:rsidR="00637B07" w:rsidRPr="00730000" w14:paraId="4404E0F8" w14:textId="77777777" w:rsidTr="000E0044">
        <w:tc>
          <w:tcPr>
            <w:tcW w:w="2747" w:type="dxa"/>
          </w:tcPr>
          <w:p w14:paraId="1A5CF6F1" w14:textId="4EEBB50F" w:rsidR="00A542B2" w:rsidRPr="00730000" w:rsidRDefault="00A542B2" w:rsidP="0055774B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Cheltuieli preluate din PNDR 2014-202</w:t>
            </w:r>
            <w:r w:rsidR="0055774B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0</w:t>
            </w:r>
          </w:p>
        </w:tc>
        <w:tc>
          <w:tcPr>
            <w:tcW w:w="7307" w:type="dxa"/>
          </w:tcPr>
          <w:p w14:paraId="7B7A41E8" w14:textId="77777777" w:rsidR="00A542B2" w:rsidRPr="00730000" w:rsidRDefault="00A542B2" w:rsidP="000E0044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</w:p>
          <w:p w14:paraId="1C3F50A1" w14:textId="5F86D3C2" w:rsidR="00A542B2" w:rsidRPr="00730000" w:rsidRDefault="00AC6617" w:rsidP="000E0044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>N/A</w:t>
            </w:r>
          </w:p>
        </w:tc>
      </w:tr>
    </w:tbl>
    <w:p w14:paraId="0B4480AA" w14:textId="77777777" w:rsidR="001B426C" w:rsidRPr="00730000" w:rsidRDefault="001B426C" w:rsidP="001B426C">
      <w:pP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</w:p>
    <w:p w14:paraId="28D614D9" w14:textId="3AB69A86" w:rsidR="0068060A" w:rsidRPr="00730000" w:rsidRDefault="0068060A" w:rsidP="00151C63">
      <w:pPr>
        <w:keepNext/>
        <w:numPr>
          <w:ilvl w:val="2"/>
          <w:numId w:val="7"/>
        </w:numPr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 w:eastAsia="en-GB"/>
        </w:rPr>
      </w:pPr>
      <w:bookmarkStart w:id="184" w:name="_Toc82098801"/>
      <w:r w:rsidRPr="00730000">
        <w:rPr>
          <w:rFonts w:ascii="Trebuchet MS" w:hAnsi="Trebuchet MS"/>
          <w:b/>
          <w:bCs/>
          <w:color w:val="000000" w:themeColor="text1"/>
          <w:lang w:val="ro-RO"/>
        </w:rPr>
        <w:t>Informații legate de ajutorul de stat</w:t>
      </w:r>
      <w:bookmarkEnd w:id="184"/>
      <w:r w:rsidRPr="0073000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 w:eastAsia="en-GB"/>
        </w:rPr>
        <w:t xml:space="preserve"> </w:t>
      </w:r>
    </w:p>
    <w:tbl>
      <w:tblPr>
        <w:tblStyle w:val="TableGrid"/>
        <w:tblW w:w="1008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6"/>
      </w:tblGrid>
      <w:tr w:rsidR="00730000" w:rsidRPr="00730000" w14:paraId="1525F189" w14:textId="77777777" w:rsidTr="00003FDF">
        <w:trPr>
          <w:trHeight w:val="649"/>
        </w:trPr>
        <w:tc>
          <w:tcPr>
            <w:tcW w:w="10086" w:type="dxa"/>
          </w:tcPr>
          <w:p w14:paraId="0D47C38F" w14:textId="55A17245" w:rsidR="0068060A" w:rsidRPr="00730000" w:rsidRDefault="00003FDF" w:rsidP="0068060A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>Intervenția</w:t>
            </w:r>
            <w:r w:rsidR="0068060A"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este în afara domeniului de aplicabilitate a Art 42 din TFEU şi face obiectul evaluării ajutorului de stat</w:t>
            </w:r>
          </w:p>
        </w:tc>
      </w:tr>
      <w:tr w:rsidR="00730000" w:rsidRPr="00730000" w14:paraId="52120584" w14:textId="77777777" w:rsidTr="00003FDF">
        <w:trPr>
          <w:trHeight w:val="374"/>
        </w:trPr>
        <w:tc>
          <w:tcPr>
            <w:tcW w:w="10086" w:type="dxa"/>
          </w:tcPr>
          <w:p w14:paraId="6BAFCB2A" w14:textId="47318B75" w:rsidR="0068060A" w:rsidRPr="00730000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 </w:t>
            </w:r>
            <w:r w:rsidR="00070F94" w:rsidRPr="00730000">
              <w:rPr>
                <w:rFonts w:ascii="Trebuchet MS" w:hAnsi="Trebuchet MS"/>
                <w:color w:val="000000" w:themeColor="text1"/>
                <w:lang w:val="ro-RO"/>
              </w:rPr>
              <w:t>Da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</w:t>
            </w:r>
          </w:p>
        </w:tc>
      </w:tr>
      <w:tr w:rsidR="00730000" w:rsidRPr="00730000" w14:paraId="459D749C" w14:textId="77777777" w:rsidTr="00003FDF">
        <w:trPr>
          <w:trHeight w:val="389"/>
        </w:trPr>
        <w:tc>
          <w:tcPr>
            <w:tcW w:w="10086" w:type="dxa"/>
          </w:tcPr>
          <w:p w14:paraId="186A6B27" w14:textId="2922FCE3" w:rsidR="0068060A" w:rsidRPr="00730000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X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</w:t>
            </w:r>
            <w:r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N</w:t>
            </w:r>
            <w:r w:rsidR="00070F94" w:rsidRPr="00730000">
              <w:rPr>
                <w:rFonts w:ascii="Trebuchet MS" w:hAnsi="Trebuchet MS"/>
                <w:b/>
                <w:color w:val="000000" w:themeColor="text1"/>
                <w:lang w:val="ro-RO"/>
              </w:rPr>
              <w:t>u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</w:t>
            </w:r>
          </w:p>
        </w:tc>
      </w:tr>
      <w:tr w:rsidR="00730000" w:rsidRPr="00730000" w14:paraId="4AD91CE2" w14:textId="77777777" w:rsidTr="00003FDF">
        <w:trPr>
          <w:trHeight w:val="378"/>
        </w:trPr>
        <w:tc>
          <w:tcPr>
            <w:tcW w:w="10086" w:type="dxa"/>
          </w:tcPr>
          <w:p w14:paraId="448F5C6A" w14:textId="56877227" w:rsidR="0068060A" w:rsidRPr="00730000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 Mix</w:t>
            </w:r>
            <w:r w:rsidR="00070F94" w:rsidRPr="00730000">
              <w:rPr>
                <w:rFonts w:ascii="Trebuchet MS" w:hAnsi="Trebuchet MS"/>
                <w:color w:val="000000" w:themeColor="text1"/>
                <w:lang w:val="ro-RO"/>
              </w:rPr>
              <w:t>t</w:t>
            </w:r>
          </w:p>
        </w:tc>
      </w:tr>
      <w:tr w:rsidR="00730000" w:rsidRPr="00730000" w14:paraId="5C70A67B" w14:textId="77777777" w:rsidTr="00003FDF">
        <w:trPr>
          <w:trHeight w:val="389"/>
        </w:trPr>
        <w:tc>
          <w:tcPr>
            <w:tcW w:w="10086" w:type="dxa"/>
          </w:tcPr>
          <w:p w14:paraId="0635E3CB" w14:textId="77777777" w:rsidR="0068060A" w:rsidRPr="00730000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</w:tr>
      <w:tr w:rsidR="00730000" w:rsidRPr="00730000" w14:paraId="345956E7" w14:textId="77777777" w:rsidTr="00003FDF">
        <w:trPr>
          <w:trHeight w:val="389"/>
        </w:trPr>
        <w:tc>
          <w:tcPr>
            <w:tcW w:w="10086" w:type="dxa"/>
          </w:tcPr>
          <w:p w14:paraId="68AF9E50" w14:textId="77777777" w:rsidR="0068060A" w:rsidRPr="00730000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>Tipul instrumentului de ajutor de stat utilizat pentru conformitate:</w:t>
            </w:r>
          </w:p>
        </w:tc>
      </w:tr>
      <w:tr w:rsidR="00730000" w:rsidRPr="00730000" w14:paraId="3EA6714E" w14:textId="77777777" w:rsidTr="00003FDF">
        <w:trPr>
          <w:trHeight w:val="1297"/>
        </w:trPr>
        <w:tc>
          <w:tcPr>
            <w:tcW w:w="10086" w:type="dxa"/>
          </w:tcPr>
          <w:p w14:paraId="12559A7A" w14:textId="77777777" w:rsidR="0068060A" w:rsidRPr="00730000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Notificare </w:t>
            </w:r>
            <w:r w:rsidRPr="00730000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GBER </w:t>
            </w:r>
            <w:r w:rsidRPr="00730000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ABER </w:t>
            </w:r>
            <w:r w:rsidRPr="00730000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 xml:space="preserve"> de minimis</w:t>
            </w:r>
          </w:p>
          <w:p w14:paraId="6267AEB6" w14:textId="61EF6E30" w:rsidR="0068060A" w:rsidRPr="00730000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730000">
              <w:rPr>
                <w:rFonts w:ascii="Trebuchet MS" w:hAnsi="Trebuchet MS"/>
                <w:color w:val="000000" w:themeColor="text1"/>
                <w:lang w:val="ro-RO"/>
              </w:rPr>
              <w:t>Dacă e „Notificare”: Numărul SA: N/A</w:t>
            </w:r>
          </w:p>
        </w:tc>
      </w:tr>
    </w:tbl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p w14:paraId="74484451" w14:textId="207518D4" w:rsidR="00A542B2" w:rsidRPr="00730000" w:rsidRDefault="0068060A" w:rsidP="00003FDF">
      <w:pPr>
        <w:pStyle w:val="Text3"/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730000">
        <w:rPr>
          <w:rFonts w:ascii="Trebuchet MS" w:hAnsi="Trebuchet MS"/>
          <w:color w:val="000000" w:themeColor="text1"/>
          <w:sz w:val="22"/>
          <w:szCs w:val="22"/>
          <w:lang w:val="ro-RO"/>
        </w:rPr>
        <w:t>Suma  FEADR (€): N/A</w:t>
      </w:r>
    </w:p>
    <w:p w14:paraId="1371C9B2" w14:textId="377405E1" w:rsidR="00A542B2" w:rsidRPr="00730000" w:rsidRDefault="00003FDF" w:rsidP="00003FDF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000000" w:themeColor="text1"/>
          <w:lang w:val="ro-RO"/>
        </w:rPr>
      </w:pPr>
      <w:r w:rsidRPr="00730000">
        <w:rPr>
          <w:rFonts w:ascii="Trebuchet MS" w:hAnsi="Trebuchet MS"/>
          <w:color w:val="000000" w:themeColor="text1"/>
          <w:lang w:val="ro-RO"/>
        </w:rPr>
        <w:t>Contribuția</w:t>
      </w:r>
      <w:r w:rsidR="00A542B2" w:rsidRPr="00730000">
        <w:rPr>
          <w:rFonts w:ascii="Trebuchet MS" w:hAnsi="Trebuchet MS"/>
          <w:color w:val="000000" w:themeColor="text1"/>
          <w:lang w:val="ro-RO"/>
        </w:rPr>
        <w:t xml:space="preserve"> n</w:t>
      </w:r>
      <w:r w:rsidR="0068060A" w:rsidRPr="00730000">
        <w:rPr>
          <w:rFonts w:ascii="Trebuchet MS" w:hAnsi="Trebuchet MS"/>
          <w:color w:val="000000" w:themeColor="text1"/>
          <w:lang w:val="ro-RO"/>
        </w:rPr>
        <w:t>ațională (€): N/A</w:t>
      </w:r>
    </w:p>
    <w:p w14:paraId="0F53654B" w14:textId="023E179E" w:rsidR="00A542B2" w:rsidRPr="00730000" w:rsidRDefault="00A542B2" w:rsidP="00003FDF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Trebuchet MS" w:hAnsi="Trebuchet MS"/>
          <w:bCs/>
          <w:color w:val="000000" w:themeColor="text1"/>
          <w:lang w:val="ro-RO"/>
        </w:rPr>
      </w:pPr>
      <w:r w:rsidRPr="00730000">
        <w:rPr>
          <w:rFonts w:ascii="Trebuchet MS" w:hAnsi="Trebuchet MS"/>
          <w:color w:val="000000" w:themeColor="text1"/>
          <w:lang w:val="ro-RO"/>
        </w:rPr>
        <w:t>Cofin</w:t>
      </w:r>
      <w:r w:rsidR="0068060A" w:rsidRPr="00730000">
        <w:rPr>
          <w:rFonts w:ascii="Trebuchet MS" w:hAnsi="Trebuchet MS"/>
          <w:color w:val="000000" w:themeColor="text1"/>
          <w:lang w:val="ro-RO"/>
        </w:rPr>
        <w:t>anțare națională adițională (€): N/A</w:t>
      </w:r>
    </w:p>
    <w:p w14:paraId="734A5EBF" w14:textId="77777777" w:rsidR="001B426C" w:rsidRPr="00730000" w:rsidRDefault="001B426C" w:rsidP="001B426C">
      <w:pPr>
        <w:spacing w:after="240" w:line="240" w:lineRule="auto"/>
        <w:contextualSpacing/>
        <w:rPr>
          <w:rFonts w:ascii="Trebuchet MS" w:eastAsia="Calibri" w:hAnsi="Trebuchet MS" w:cstheme="minorHAnsi"/>
          <w:b/>
          <w:color w:val="000000" w:themeColor="text1"/>
          <w:lang w:val="ro-RO" w:eastAsia="en-GB"/>
        </w:rPr>
      </w:pPr>
    </w:p>
    <w:p w14:paraId="592542E4" w14:textId="1BED4303" w:rsidR="00E025DA" w:rsidRPr="00730000" w:rsidRDefault="00E025DA" w:rsidP="00003FDF">
      <w:pPr>
        <w:keepNext/>
        <w:numPr>
          <w:ilvl w:val="2"/>
          <w:numId w:val="7"/>
        </w:numPr>
        <w:tabs>
          <w:tab w:val="num" w:pos="1361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</w:pPr>
      <w:r w:rsidRPr="00730000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lastRenderedPageBreak/>
        <w:t>D</w:t>
      </w:r>
      <w:r w:rsidR="009208F3" w:rsidRPr="00730000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 xml:space="preserve">acă este selectat </w:t>
      </w:r>
      <w:r w:rsidRPr="00730000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>Art.</w:t>
      </w:r>
      <w:r w:rsidR="006A0197" w:rsidRPr="00730000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 xml:space="preserve"> 76</w:t>
      </w:r>
      <w:r w:rsidRPr="00730000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 xml:space="preserve"> </w:t>
      </w:r>
      <w:r w:rsidR="009208F3" w:rsidRPr="00730000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 xml:space="preserve">şi </w:t>
      </w:r>
      <w:r w:rsidRPr="00730000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 xml:space="preserve">O.I </w:t>
      </w:r>
      <w:r w:rsidR="005E46B2" w:rsidRPr="00730000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>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3"/>
        <w:gridCol w:w="6330"/>
      </w:tblGrid>
      <w:tr w:rsidR="00730000" w:rsidRPr="00730000" w14:paraId="19670A87" w14:textId="77777777" w:rsidTr="00130F49">
        <w:tc>
          <w:tcPr>
            <w:tcW w:w="3794" w:type="dxa"/>
          </w:tcPr>
          <w:p w14:paraId="37209183" w14:textId="36DC2B40" w:rsidR="00E025DA" w:rsidRPr="00730000" w:rsidRDefault="009208F3" w:rsidP="009208F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 w:eastAsia="en-GB"/>
              </w:rPr>
              <w:t>Compensarea pierderilor</w:t>
            </w:r>
            <w:r w:rsidR="006A0197" w:rsidRPr="0073000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 w:eastAsia="en-GB"/>
              </w:rPr>
              <w:t>:</w:t>
            </w:r>
            <w:r w:rsidRPr="00730000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 w:eastAsia="en-GB"/>
              </w:rPr>
              <w:t xml:space="preserve"> Care este pragul care da dreptul la compensare? </w:t>
            </w:r>
          </w:p>
        </w:tc>
        <w:tc>
          <w:tcPr>
            <w:tcW w:w="6486" w:type="dxa"/>
          </w:tcPr>
          <w:p w14:paraId="37F39116" w14:textId="082063C1" w:rsidR="00130F49" w:rsidRPr="00730000" w:rsidRDefault="009208F3" w:rsidP="00130F49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20 %</w:t>
            </w:r>
            <w:r w:rsidR="00130F49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din producția medie anuală a fermierului. </w:t>
            </w:r>
          </w:p>
          <w:p w14:paraId="6989C7FE" w14:textId="77777777" w:rsidR="00130F49" w:rsidRPr="00730000" w:rsidRDefault="00130F49" w:rsidP="00130F49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</w:p>
          <w:p w14:paraId="1611D1B6" w14:textId="5D9F8D12" w:rsidR="00130F49" w:rsidRPr="00730000" w:rsidRDefault="00130F49" w:rsidP="00130F49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În cazul în care contractele de asigurare au prevederi specifice care dau posibilitatea acoperirii unor pierderi mai mici de 20%, prima de asigurare eligibilă se raportează la </w:t>
            </w:r>
            <w:r w:rsidR="00104F2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condiția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</w:t>
            </w:r>
            <w:r w:rsidR="00104F2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menționată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mai sus (acoperirea unor pierderi de cel </w:t>
            </w:r>
            <w:r w:rsidR="00104F2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puțin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20 % din producția medie anuală a fermierului</w:t>
            </w:r>
            <w:r w:rsidR="00151C6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)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.</w:t>
            </w:r>
          </w:p>
          <w:p w14:paraId="6704CFF5" w14:textId="77777777" w:rsidR="00130F49" w:rsidRPr="00730000" w:rsidRDefault="00130F49" w:rsidP="00130F49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</w:p>
          <w:p w14:paraId="4BE488F5" w14:textId="4B556274" w:rsidR="00E025DA" w:rsidRPr="00730000" w:rsidRDefault="00130F49" w:rsidP="00130F49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Producția medie anuală a fermierului se </w:t>
            </w:r>
            <w:r w:rsidR="00104F2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stabilește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pe o perioadă de trei ani anterioară sau ca medie a trei ani bazată pe cei cinci ani precedenți, cu excepția celei mai mari și a celei mai mici dintre valori. În cazul fermierilor fără istoric al </w:t>
            </w:r>
            <w:r w:rsidR="00104F2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producției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, </w:t>
            </w:r>
            <w:r w:rsidR="00104F2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producția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medie anuală se </w:t>
            </w:r>
            <w:r w:rsidR="00104F2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stabilește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de către societățile de asigurare ca medie a zonei pe baza datelor disponibile de la fermierii din zona limitrofă, aflați în portofoliul acestora, coroborate cu alte criterii legate de condițiile pedoclimatice, varietatea culturilor, etc.</w:t>
            </w:r>
          </w:p>
        </w:tc>
      </w:tr>
      <w:tr w:rsidR="00730000" w:rsidRPr="00730000" w14:paraId="3984A2E5" w14:textId="77777777" w:rsidTr="00130F49">
        <w:tc>
          <w:tcPr>
            <w:tcW w:w="3794" w:type="dxa"/>
          </w:tcPr>
          <w:p w14:paraId="210BA99F" w14:textId="12DCACC1" w:rsidR="00E025DA" w:rsidRPr="00730000" w:rsidRDefault="006A0197" w:rsidP="00E025DA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Care est</w:t>
            </w:r>
            <w:r w:rsidR="009208F3"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e</w:t>
            </w: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</w:t>
            </w:r>
            <w:r w:rsidR="009208F3"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metodologie de calcul a pierderilor şi factorii declanşatori?</w:t>
            </w:r>
          </w:p>
          <w:p w14:paraId="577704AA" w14:textId="77777777" w:rsidR="00E025DA" w:rsidRPr="00730000" w:rsidRDefault="00E025DA" w:rsidP="00E025DA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1B8DB8A3" w14:textId="77777777" w:rsidR="00066320" w:rsidRPr="00730000" w:rsidRDefault="00066320" w:rsidP="00066320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</w:pPr>
            <w:bookmarkStart w:id="185" w:name="_Hlk91611457"/>
            <w:r w:rsidRPr="00730000"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  <w:t>Metodologie de calcul a pierderilor</w:t>
            </w:r>
          </w:p>
          <w:p w14:paraId="2A5BA742" w14:textId="77777777" w:rsidR="00130F49" w:rsidRPr="00730000" w:rsidRDefault="00130F49" w:rsidP="00066320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</w:pPr>
          </w:p>
          <w:p w14:paraId="272279AA" w14:textId="30DF131D" w:rsidR="00130F49" w:rsidRPr="00730000" w:rsidRDefault="006A0197" w:rsidP="00066320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Calcularea pierderilor se realizează de către </w:t>
            </w:r>
            <w:r w:rsidR="00104F23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societățile</w:t>
            </w: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de asigurare fie pe baza </w:t>
            </w:r>
            <w:r w:rsidR="00151C63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evidențelor</w:t>
            </w: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contabile ale fermierilor şi a expertizei tehnice a asiguratorului pentru constatarea daunei</w:t>
            </w:r>
            <w:r w:rsidR="00151C63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,</w:t>
            </w: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fie pe bază de indici, dacă </w:t>
            </w:r>
            <w:r w:rsidR="00104F23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societățile</w:t>
            </w:r>
            <w:r w:rsidR="00130F49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de asigurare dispun de aceast</w:t>
            </w:r>
            <w:r w:rsidR="00151C63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ă</w:t>
            </w:r>
            <w:r w:rsidR="00130F49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metodologie. </w:t>
            </w:r>
          </w:p>
          <w:p w14:paraId="08EB48A9" w14:textId="3889455A" w:rsidR="00E025DA" w:rsidRPr="00730000" w:rsidRDefault="00130F49" w:rsidP="00066320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Prin cadrul </w:t>
            </w:r>
            <w:r w:rsidR="00151C63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național</w:t>
            </w: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de implementare a PNS vor fi reglementate </w:t>
            </w:r>
            <w:r w:rsidR="005150B8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prevederile obligatorii din contractul de asigurare, precum şi </w:t>
            </w: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regulile privind </w:t>
            </w:r>
            <w:r w:rsidR="00066320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utiliz</w:t>
            </w: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area </w:t>
            </w:r>
            <w:r w:rsidR="00066320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metodologii</w:t>
            </w: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lor bazate pe indici</w:t>
            </w:r>
            <w:r w:rsidR="005150B8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.</w:t>
            </w:r>
          </w:p>
          <w:p w14:paraId="454F3B9C" w14:textId="77777777" w:rsidR="00066320" w:rsidRPr="00730000" w:rsidRDefault="00066320" w:rsidP="00066320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</w:p>
          <w:p w14:paraId="0BAE9CB4" w14:textId="5F37630E" w:rsidR="00066320" w:rsidRPr="00730000" w:rsidRDefault="00066320" w:rsidP="00066320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</w:pPr>
            <w:r w:rsidRPr="00730000"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  <w:t xml:space="preserve">Factori </w:t>
            </w:r>
            <w:r w:rsidR="00003FDF" w:rsidRPr="00730000"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  <w:t>declanșatori</w:t>
            </w:r>
            <w:r w:rsidRPr="00730000"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  <w:t>:</w:t>
            </w:r>
          </w:p>
          <w:p w14:paraId="77CEABA0" w14:textId="088D1F25" w:rsidR="00066320" w:rsidRPr="00730000" w:rsidRDefault="00066320" w:rsidP="00066320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Riscurile eligibile care dau dreptul la compensarea pierderilor  aferente contractelor de asigurare care fac obiectul sprijinului prin această măsură</w:t>
            </w:r>
            <w:r w:rsidR="00130F49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sunt:</w:t>
            </w:r>
          </w:p>
          <w:p w14:paraId="3894616C" w14:textId="1993EFB6" w:rsidR="00A21DC3" w:rsidRPr="00730000" w:rsidRDefault="00130F49" w:rsidP="0005178E">
            <w:pPr>
              <w:pStyle w:val="ListParagraph"/>
              <w:numPr>
                <w:ilvl w:val="0"/>
                <w:numId w:val="12"/>
              </w:numPr>
              <w:spacing w:after="240"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Fenomene climatice nefavorabile, respectiv: secetă, arșiță, inundații, grindină, îngheț,</w:t>
            </w:r>
            <w:r w:rsidR="008C7B66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furtun</w:t>
            </w:r>
            <w:r w:rsidR="00DF3B1F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ă</w:t>
            </w:r>
            <w:r w:rsidR="008C7B66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,</w:t>
            </w:r>
            <w:r w:rsidR="00661C4B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vijelie</w:t>
            </w:r>
            <w:r w:rsid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,</w:t>
            </w: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ploi torențiale sau ploi excesive și de lungă durată</w:t>
            </w:r>
            <w:r w:rsidR="00A21DC3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;</w:t>
            </w:r>
          </w:p>
          <w:p w14:paraId="2255B480" w14:textId="05149268" w:rsidR="008C7B66" w:rsidRPr="00730000" w:rsidRDefault="008C7B66" w:rsidP="0005178E">
            <w:pPr>
              <w:pStyle w:val="ListParagraph"/>
              <w:numPr>
                <w:ilvl w:val="0"/>
                <w:numId w:val="12"/>
              </w:numPr>
              <w:spacing w:after="240"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bookmarkStart w:id="186" w:name="_Hlk91611497"/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Organisme dăunătoare plantelor;</w:t>
            </w:r>
          </w:p>
          <w:bookmarkEnd w:id="186"/>
          <w:p w14:paraId="2ECAEA20" w14:textId="4F8A1897" w:rsidR="00130F49" w:rsidRPr="00730000" w:rsidRDefault="00130F49" w:rsidP="00151C63">
            <w:pPr>
              <w:pStyle w:val="ListParagraph"/>
              <w:numPr>
                <w:ilvl w:val="0"/>
                <w:numId w:val="12"/>
              </w:numPr>
              <w:spacing w:after="240"/>
              <w:jc w:val="both"/>
              <w:rPr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Boli ale animalelor</w:t>
            </w:r>
            <w:r w:rsidR="00003FDF" w:rsidRPr="0073000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.</w:t>
            </w:r>
            <w:bookmarkEnd w:id="185"/>
          </w:p>
        </w:tc>
      </w:tr>
      <w:tr w:rsidR="00730000" w:rsidRPr="00730000" w14:paraId="00FFB357" w14:textId="77777777" w:rsidTr="00130F49">
        <w:tc>
          <w:tcPr>
            <w:tcW w:w="3794" w:type="dxa"/>
          </w:tcPr>
          <w:p w14:paraId="3069F9CB" w14:textId="4E9B004D" w:rsidR="00E025DA" w:rsidRPr="00730000" w:rsidRDefault="00F13B93" w:rsidP="006A0197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Care este tipul de instrument </w:t>
            </w:r>
            <w:r w:rsidR="006A0197"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de gestionare </w:t>
            </w: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a riscului? </w:t>
            </w:r>
          </w:p>
        </w:tc>
        <w:tc>
          <w:tcPr>
            <w:tcW w:w="6486" w:type="dxa"/>
          </w:tcPr>
          <w:p w14:paraId="6CA0A8F9" w14:textId="71588FAF" w:rsidR="00E025DA" w:rsidRPr="00730000" w:rsidRDefault="00F13B93" w:rsidP="00F13B93">
            <w:pPr>
              <w:spacing w:after="240" w:line="360" w:lineRule="auto"/>
              <w:ind w:left="720" w:hanging="464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X     Asigurare</w:t>
            </w:r>
            <w:r w:rsidR="00E025DA"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</w:t>
            </w:r>
          </w:p>
          <w:p w14:paraId="6A7F5C8E" w14:textId="7675AAB1" w:rsidR="00E025DA" w:rsidRPr="00730000" w:rsidRDefault="00F13B93" w:rsidP="0005178E">
            <w:pPr>
              <w:numPr>
                <w:ilvl w:val="0"/>
                <w:numId w:val="5"/>
              </w:numPr>
              <w:spacing w:after="240"/>
              <w:ind w:hanging="461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Fond Mutual –</w:t>
            </w:r>
            <w:r w:rsidR="00E025DA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daca este selectat FM, Prezentare modalitate de constituire, acreditare şi management: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04"/>
            </w:tblGrid>
            <w:tr w:rsidR="00730000" w:rsidRPr="00730000" w14:paraId="3BD4F26B" w14:textId="77777777" w:rsidTr="00F13B93">
              <w:tc>
                <w:tcPr>
                  <w:tcW w:w="6255" w:type="dxa"/>
                </w:tcPr>
                <w:p w14:paraId="087CEE77" w14:textId="762F219A" w:rsidR="00F13B93" w:rsidRPr="00730000" w:rsidRDefault="006A0197" w:rsidP="00F13B93">
                  <w:pPr>
                    <w:spacing w:after="240"/>
                    <w:contextualSpacing/>
                    <w:rPr>
                      <w:rFonts w:ascii="Trebuchet MS" w:eastAsia="Calibri" w:hAnsi="Trebuchet MS" w:cstheme="minorHAnsi"/>
                      <w:b/>
                      <w:color w:val="000000" w:themeColor="text1"/>
                      <w:lang w:val="ro-RO" w:eastAsia="en-GB"/>
                    </w:rPr>
                  </w:pPr>
                  <w:r w:rsidRPr="00730000">
                    <w:rPr>
                      <w:rFonts w:ascii="Trebuchet MS" w:eastAsia="Calibri" w:hAnsi="Trebuchet MS" w:cstheme="minorHAnsi"/>
                      <w:b/>
                      <w:color w:val="000000" w:themeColor="text1"/>
                      <w:lang w:val="ro-RO" w:eastAsia="en-GB"/>
                    </w:rPr>
                    <w:t>N/A</w:t>
                  </w:r>
                </w:p>
              </w:tc>
            </w:tr>
          </w:tbl>
          <w:p w14:paraId="631B3D18" w14:textId="77777777" w:rsidR="00F13B93" w:rsidRPr="00730000" w:rsidRDefault="00F13B93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  <w:p w14:paraId="710AE2BA" w14:textId="7D76B525" w:rsidR="00F13B93" w:rsidRPr="00730000" w:rsidRDefault="00F13B93" w:rsidP="0005178E">
            <w:pPr>
              <w:numPr>
                <w:ilvl w:val="0"/>
                <w:numId w:val="5"/>
              </w:numPr>
              <w:spacing w:after="240"/>
              <w:ind w:hanging="464"/>
              <w:contextualSpacing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Altele –</w:t>
            </w:r>
            <w:r w:rsidR="006A0197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</w:t>
            </w:r>
            <w:r w:rsidR="00104F2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Explicație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04"/>
            </w:tblGrid>
            <w:tr w:rsidR="00730000" w:rsidRPr="00730000" w14:paraId="7C61044F" w14:textId="77777777" w:rsidTr="00F13B93">
              <w:tc>
                <w:tcPr>
                  <w:tcW w:w="6255" w:type="dxa"/>
                </w:tcPr>
                <w:p w14:paraId="3341BF9F" w14:textId="2FC00FE9" w:rsidR="00F13B93" w:rsidRPr="00730000" w:rsidRDefault="006A0197" w:rsidP="00F13B93">
                  <w:pPr>
                    <w:spacing w:after="240"/>
                    <w:contextualSpacing/>
                    <w:rPr>
                      <w:rFonts w:ascii="Trebuchet MS" w:eastAsia="Calibri" w:hAnsi="Trebuchet MS" w:cstheme="minorHAnsi"/>
                      <w:b/>
                      <w:color w:val="000000" w:themeColor="text1"/>
                      <w:lang w:val="ro-RO" w:eastAsia="en-GB"/>
                    </w:rPr>
                  </w:pPr>
                  <w:r w:rsidRPr="00730000">
                    <w:rPr>
                      <w:rFonts w:ascii="Trebuchet MS" w:eastAsia="Calibri" w:hAnsi="Trebuchet MS" w:cstheme="minorHAnsi"/>
                      <w:b/>
                      <w:color w:val="000000" w:themeColor="text1"/>
                      <w:lang w:val="ro-RO" w:eastAsia="en-GB"/>
                    </w:rPr>
                    <w:t>N/A</w:t>
                  </w:r>
                </w:p>
              </w:tc>
            </w:tr>
          </w:tbl>
          <w:p w14:paraId="51AD50C0" w14:textId="14D96FC4" w:rsidR="00F13B93" w:rsidRPr="00730000" w:rsidRDefault="00F13B93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</w:t>
            </w:r>
          </w:p>
        </w:tc>
      </w:tr>
      <w:tr w:rsidR="00730000" w:rsidRPr="00730000" w14:paraId="04400662" w14:textId="77777777" w:rsidTr="00CE323D">
        <w:trPr>
          <w:trHeight w:val="384"/>
        </w:trPr>
        <w:tc>
          <w:tcPr>
            <w:tcW w:w="3794" w:type="dxa"/>
            <w:vMerge w:val="restart"/>
          </w:tcPr>
          <w:p w14:paraId="6C8FBF0F" w14:textId="490DBD19" w:rsidR="00CE323D" w:rsidRPr="00730000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Care sunt tipurile de pierderi acoperite? </w:t>
            </w:r>
          </w:p>
        </w:tc>
        <w:tc>
          <w:tcPr>
            <w:tcW w:w="6486" w:type="dxa"/>
          </w:tcPr>
          <w:p w14:paraId="0EB6574E" w14:textId="2F0AA8E2" w:rsidR="00CE323D" w:rsidRPr="00730000" w:rsidRDefault="00CE323D" w:rsidP="00CE323D">
            <w:pPr>
              <w:spacing w:after="240" w:line="360" w:lineRule="auto"/>
              <w:ind w:firstLine="256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X     Riscuri de </w:t>
            </w:r>
            <w:r w:rsidR="00104F23"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producție</w:t>
            </w: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  </w:t>
            </w:r>
          </w:p>
        </w:tc>
      </w:tr>
      <w:tr w:rsidR="00730000" w:rsidRPr="00730000" w14:paraId="046F43F1" w14:textId="77777777" w:rsidTr="00CE323D">
        <w:trPr>
          <w:trHeight w:val="527"/>
        </w:trPr>
        <w:tc>
          <w:tcPr>
            <w:tcW w:w="3794" w:type="dxa"/>
            <w:vMerge/>
          </w:tcPr>
          <w:p w14:paraId="11117C6A" w14:textId="77777777" w:rsidR="00CE323D" w:rsidRPr="00730000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66DE97B7" w14:textId="01DB3B78" w:rsidR="00CE323D" w:rsidRPr="00730000" w:rsidRDefault="00CE323D" w:rsidP="00CE323D">
            <w:pPr>
              <w:pStyle w:val="ListParagraph"/>
              <w:spacing w:after="240" w:line="360" w:lineRule="auto"/>
              <w:ind w:left="976" w:hanging="90"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X     Culturi</w:t>
            </w:r>
            <w:r w:rsidR="00151C63"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</w:t>
            </w:r>
          </w:p>
        </w:tc>
      </w:tr>
      <w:tr w:rsidR="00730000" w:rsidRPr="00730000" w14:paraId="00AFAFE2" w14:textId="77777777" w:rsidTr="00CE323D">
        <w:trPr>
          <w:trHeight w:val="192"/>
        </w:trPr>
        <w:tc>
          <w:tcPr>
            <w:tcW w:w="3794" w:type="dxa"/>
            <w:vMerge/>
          </w:tcPr>
          <w:p w14:paraId="3B8E1CB7" w14:textId="77777777" w:rsidR="00CE323D" w:rsidRPr="00730000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55F059BE" w14:textId="452DCB73" w:rsidR="00CE323D" w:rsidRPr="00730000" w:rsidRDefault="0062739F" w:rsidP="0062739F">
            <w:pPr>
              <w:pStyle w:val="ListParagraph"/>
              <w:spacing w:after="240" w:line="360" w:lineRule="auto"/>
              <w:ind w:left="976" w:hanging="135"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X      </w:t>
            </w:r>
            <w:r w:rsidR="00CE323D"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Horticultur</w:t>
            </w:r>
            <w:r w:rsidR="00151C63"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ă</w:t>
            </w:r>
          </w:p>
        </w:tc>
      </w:tr>
      <w:tr w:rsidR="00730000" w:rsidRPr="00730000" w14:paraId="1BC54ECF" w14:textId="77777777" w:rsidTr="00CE323D">
        <w:trPr>
          <w:trHeight w:val="208"/>
        </w:trPr>
        <w:tc>
          <w:tcPr>
            <w:tcW w:w="3794" w:type="dxa"/>
            <w:vMerge/>
          </w:tcPr>
          <w:p w14:paraId="3C77B8FB" w14:textId="77777777" w:rsidR="00CE323D" w:rsidRPr="00730000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58003A31" w14:textId="2B09DBAD" w:rsidR="00CE323D" w:rsidRPr="00730000" w:rsidRDefault="00CE323D" w:rsidP="00CE323D">
            <w:pPr>
              <w:spacing w:after="240" w:line="360" w:lineRule="auto"/>
              <w:ind w:firstLine="886"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X      </w:t>
            </w:r>
            <w:r w:rsidR="00003FDF"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Creșterea</w:t>
            </w: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animalelor</w:t>
            </w:r>
          </w:p>
        </w:tc>
      </w:tr>
      <w:tr w:rsidR="00730000" w:rsidRPr="00730000" w14:paraId="23A7F538" w14:textId="77777777" w:rsidTr="00130F49">
        <w:trPr>
          <w:trHeight w:val="208"/>
        </w:trPr>
        <w:tc>
          <w:tcPr>
            <w:tcW w:w="3794" w:type="dxa"/>
            <w:vMerge/>
          </w:tcPr>
          <w:p w14:paraId="710082E7" w14:textId="77777777" w:rsidR="00CE323D" w:rsidRPr="00730000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3BAAD486" w14:textId="565B5CC9" w:rsidR="00CE323D" w:rsidRPr="00730000" w:rsidRDefault="00CE323D" w:rsidP="0005178E">
            <w:pPr>
              <w:pStyle w:val="ListParagraph"/>
              <w:numPr>
                <w:ilvl w:val="0"/>
                <w:numId w:val="11"/>
              </w:numPr>
              <w:spacing w:after="240" w:line="360" w:lineRule="auto"/>
              <w:ind w:left="796" w:hanging="540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Riscuri de venit</w:t>
            </w:r>
          </w:p>
        </w:tc>
      </w:tr>
      <w:tr w:rsidR="00730000" w:rsidRPr="00730000" w14:paraId="54472792" w14:textId="77777777" w:rsidTr="00130F49">
        <w:trPr>
          <w:trHeight w:val="208"/>
        </w:trPr>
        <w:tc>
          <w:tcPr>
            <w:tcW w:w="3794" w:type="dxa"/>
            <w:vMerge/>
          </w:tcPr>
          <w:p w14:paraId="7D772554" w14:textId="77777777" w:rsidR="00CE323D" w:rsidRPr="00730000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5EE00C5D" w14:textId="43A7D420" w:rsidR="00CE323D" w:rsidRPr="00730000" w:rsidRDefault="006A0197" w:rsidP="0005178E">
            <w:pPr>
              <w:pStyle w:val="ListParagraph"/>
              <w:numPr>
                <w:ilvl w:val="0"/>
                <w:numId w:val="11"/>
              </w:numPr>
              <w:spacing w:after="240" w:line="360" w:lineRule="auto"/>
              <w:ind w:hanging="90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S</w:t>
            </w:r>
            <w:r w:rsidR="00CE323D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pecific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e</w:t>
            </w:r>
            <w:r w:rsidR="00CE323D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pe sector</w:t>
            </w:r>
          </w:p>
        </w:tc>
      </w:tr>
      <w:tr w:rsidR="00730000" w:rsidRPr="00730000" w14:paraId="2CCCBC27" w14:textId="77777777" w:rsidTr="00130F49">
        <w:trPr>
          <w:trHeight w:val="384"/>
        </w:trPr>
        <w:tc>
          <w:tcPr>
            <w:tcW w:w="3794" w:type="dxa"/>
            <w:vMerge/>
          </w:tcPr>
          <w:p w14:paraId="6EFB2D1E" w14:textId="77777777" w:rsidR="00CE323D" w:rsidRPr="00730000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34FEC4B2" w14:textId="4CF3E0F4" w:rsidR="00CE323D" w:rsidRPr="00730000" w:rsidRDefault="006A0197" w:rsidP="00786DBE">
            <w:pPr>
              <w:pStyle w:val="ListParagraph"/>
              <w:numPr>
                <w:ilvl w:val="0"/>
                <w:numId w:val="11"/>
              </w:numPr>
              <w:spacing w:after="240" w:line="360" w:lineRule="auto"/>
              <w:ind w:hanging="86"/>
              <w:rPr>
                <w:rFonts w:ascii="Trebuchet MS" w:eastAsia="Calibri" w:hAnsi="Trebuchet MS" w:cstheme="minorHAnsi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lang w:val="ro-RO" w:eastAsia="en-GB"/>
              </w:rPr>
              <w:t>N</w:t>
            </w:r>
            <w:r w:rsidR="00CE323D" w:rsidRPr="00730000">
              <w:rPr>
                <w:rFonts w:ascii="Trebuchet MS" w:eastAsia="Calibri" w:hAnsi="Trebuchet MS" w:cstheme="minorHAnsi"/>
                <w:lang w:val="ro-RO" w:eastAsia="en-GB"/>
              </w:rPr>
              <w:t>especi</w:t>
            </w:r>
            <w:r w:rsidRPr="00730000">
              <w:rPr>
                <w:rFonts w:ascii="Trebuchet MS" w:eastAsia="Calibri" w:hAnsi="Trebuchet MS" w:cstheme="minorHAnsi"/>
                <w:lang w:val="ro-RO" w:eastAsia="en-GB"/>
              </w:rPr>
              <w:t>fice pe sector</w:t>
            </w:r>
          </w:p>
        </w:tc>
      </w:tr>
      <w:tr w:rsidR="00E025DA" w:rsidRPr="00730000" w14:paraId="4C845BD8" w14:textId="77777777" w:rsidTr="00130F49">
        <w:trPr>
          <w:trHeight w:val="972"/>
        </w:trPr>
        <w:tc>
          <w:tcPr>
            <w:tcW w:w="3794" w:type="dxa"/>
          </w:tcPr>
          <w:p w14:paraId="48017DB4" w14:textId="4CF155B1" w:rsidR="00E025DA" w:rsidRPr="00730000" w:rsidRDefault="006A0197" w:rsidP="006A0197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Care sunt prevederile pentru evitarea supracompensării? </w:t>
            </w:r>
          </w:p>
        </w:tc>
        <w:tc>
          <w:tcPr>
            <w:tcW w:w="6486" w:type="dxa"/>
          </w:tcPr>
          <w:p w14:paraId="7C402ED0" w14:textId="3C8FC2CB" w:rsidR="00E025DA" w:rsidRPr="00730000" w:rsidRDefault="00E025DA" w:rsidP="00E025DA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  <w:p w14:paraId="66A60A43" w14:textId="2E91A3AF" w:rsidR="006A0197" w:rsidRPr="00730000" w:rsidRDefault="006A0197" w:rsidP="006A0197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Contractul de asigurare trebuie să </w:t>
            </w:r>
            <w:r w:rsidR="00003FDF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conține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prevederi privind evitarea supracompensării.</w:t>
            </w:r>
          </w:p>
          <w:p w14:paraId="40A1400C" w14:textId="77777777" w:rsidR="006A0197" w:rsidRPr="00730000" w:rsidRDefault="006A0197" w:rsidP="006A0197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</w:p>
          <w:p w14:paraId="3E66BF55" w14:textId="1BDA7A85" w:rsidR="006A0197" w:rsidRPr="00730000" w:rsidRDefault="006A0197" w:rsidP="006A0197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Pentru evitarea supracompensării cu alte programe publice, prin această </w:t>
            </w:r>
            <w:r w:rsidR="00104F2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intervenție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nu </w:t>
            </w:r>
            <w:r w:rsidR="00151C6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se vor 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acoperi riscuri care fac obiectul programelor de sprijin pentru </w:t>
            </w:r>
            <w:r w:rsidR="00151C6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sectorul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zootehnic derulate de către ANSVSA.</w:t>
            </w:r>
          </w:p>
          <w:p w14:paraId="0EC2ECCF" w14:textId="77777777" w:rsidR="006A0197" w:rsidRPr="00730000" w:rsidRDefault="006A0197" w:rsidP="006A0197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</w:p>
          <w:p w14:paraId="4550EC41" w14:textId="3C062468" w:rsidR="00E025DA" w:rsidRPr="00730000" w:rsidRDefault="006A0197" w:rsidP="006A0197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De asemenea, nu sunt acoperite de prezenta </w:t>
            </w:r>
            <w:r w:rsidR="00003FDF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intervenție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sectoarele </w:t>
            </w:r>
            <w:r w:rsidR="00786DBE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sau, după caz, organizațiile 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pentru care există instrumente de gestionare  a riscurilor prin </w:t>
            </w:r>
            <w:r w:rsidR="00151C6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intervențiile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sectoriale din PNS</w:t>
            </w:r>
            <w:r w:rsidR="00151C63"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.</w:t>
            </w:r>
            <w:r w:rsidRPr="00730000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</w:t>
            </w:r>
          </w:p>
        </w:tc>
      </w:tr>
    </w:tbl>
    <w:p w14:paraId="0CC44C55" w14:textId="77777777" w:rsidR="00E025DA" w:rsidRPr="00730000" w:rsidRDefault="00E025DA" w:rsidP="00E025DA">
      <w:pPr>
        <w:spacing w:after="240" w:line="240" w:lineRule="auto"/>
        <w:contextualSpacing/>
        <w:rPr>
          <w:rFonts w:ascii="Trebuchet MS" w:eastAsia="Calibri" w:hAnsi="Trebuchet MS" w:cstheme="minorHAnsi"/>
          <w:b/>
          <w:color w:val="000000" w:themeColor="text1"/>
          <w:lang w:val="fr-FR" w:eastAsia="en-GB"/>
        </w:rPr>
      </w:pPr>
    </w:p>
    <w:p w14:paraId="1E37DF52" w14:textId="7FCF35AC" w:rsidR="00637B07" w:rsidRPr="00730000" w:rsidRDefault="00637B07" w:rsidP="00104F23">
      <w:pPr>
        <w:keepNext/>
        <w:numPr>
          <w:ilvl w:val="2"/>
          <w:numId w:val="7"/>
        </w:numPr>
        <w:tabs>
          <w:tab w:val="left" w:pos="426"/>
          <w:tab w:val="num" w:pos="1361"/>
        </w:tabs>
        <w:spacing w:before="120" w:after="120" w:line="240" w:lineRule="auto"/>
        <w:ind w:left="737" w:hanging="737"/>
        <w:jc w:val="both"/>
        <w:outlineLvl w:val="2"/>
        <w:rPr>
          <w:rFonts w:ascii="Trebuchet MS" w:hAnsi="Trebuchet MS"/>
          <w:b/>
          <w:bCs/>
          <w:color w:val="000000" w:themeColor="text1"/>
          <w:lang w:val="ro-RO"/>
        </w:rPr>
      </w:pPr>
      <w:r w:rsidRPr="00730000">
        <w:rPr>
          <w:rFonts w:ascii="Trebuchet MS" w:hAnsi="Trebuchet MS"/>
          <w:b/>
          <w:bCs/>
          <w:color w:val="000000" w:themeColor="text1"/>
          <w:lang w:val="ro-RO"/>
        </w:rPr>
        <w:t>Evaluarea</w:t>
      </w:r>
      <w:r w:rsidR="00EE73AC" w:rsidRPr="00730000">
        <w:rPr>
          <w:rFonts w:ascii="Trebuchet MS" w:hAnsi="Trebuchet MS"/>
          <w:b/>
          <w:bCs/>
          <w:color w:val="000000" w:themeColor="text1"/>
          <w:lang w:val="ro-RO"/>
        </w:rPr>
        <w:t xml:space="preserve"> </w:t>
      </w:r>
      <w:r w:rsidR="00104F23" w:rsidRPr="00730000">
        <w:rPr>
          <w:rFonts w:ascii="Trebuchet MS" w:hAnsi="Trebuchet MS"/>
          <w:b/>
          <w:bCs/>
          <w:color w:val="000000" w:themeColor="text1"/>
          <w:lang w:val="ro-RO"/>
        </w:rPr>
        <w:t>conformității</w:t>
      </w:r>
      <w:r w:rsidR="00EE73AC" w:rsidRPr="00730000">
        <w:rPr>
          <w:rFonts w:ascii="Trebuchet MS" w:hAnsi="Trebuchet MS"/>
          <w:b/>
          <w:bCs/>
          <w:color w:val="000000" w:themeColor="text1"/>
          <w:lang w:val="ro-RO"/>
        </w:rPr>
        <w:t xml:space="preserve"> cu regulile </w:t>
      </w:r>
      <w:r w:rsidRPr="00730000">
        <w:rPr>
          <w:rFonts w:ascii="Trebuchet MS" w:hAnsi="Trebuchet MS"/>
          <w:b/>
          <w:bCs/>
          <w:color w:val="000000" w:themeColor="text1"/>
          <w:lang w:val="ro-RO"/>
        </w:rPr>
        <w:t>OMC</w:t>
      </w:r>
    </w:p>
    <w:p w14:paraId="2F40EC69" w14:textId="360E8324" w:rsidR="001B426C" w:rsidRPr="00730000" w:rsidRDefault="001B426C" w:rsidP="001B426C">
      <w:pPr>
        <w:tabs>
          <w:tab w:val="left" w:pos="2302"/>
        </w:tabs>
        <w:spacing w:after="12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</w:p>
    <w:p w14:paraId="65C9BB3E" w14:textId="082CEDBA" w:rsidR="00EE73AC" w:rsidRPr="00730000" w:rsidRDefault="00EE73AC" w:rsidP="0005178E">
      <w:pPr>
        <w:pStyle w:val="Guidelines"/>
        <w:numPr>
          <w:ilvl w:val="0"/>
          <w:numId w:val="13"/>
        </w:numPr>
        <w:pBdr>
          <w:top w:val="single" w:sz="4" w:space="0" w:color="auto"/>
          <w:right w:val="single" w:sz="4" w:space="0" w:color="auto"/>
        </w:pBdr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730000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Cutia verde                      </w:t>
      </w:r>
      <w:r w:rsidRPr="00730000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 X   Cutia portocalie                         </w:t>
      </w:r>
    </w:p>
    <w:p w14:paraId="36AD8671" w14:textId="4CD92DED" w:rsidR="00F04E6D" w:rsidRPr="00730000" w:rsidRDefault="00F04E6D">
      <w:pPr>
        <w:rPr>
          <w:color w:val="000000" w:themeColor="text1"/>
        </w:rPr>
      </w:pPr>
    </w:p>
    <w:sectPr w:rsidR="00F04E6D" w:rsidRPr="00730000" w:rsidSect="00F04E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992" w:bottom="1021" w:left="851" w:header="601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5DE82" w14:textId="77777777" w:rsidR="00E47738" w:rsidRDefault="00E47738" w:rsidP="001B426C">
      <w:pPr>
        <w:spacing w:after="0" w:line="240" w:lineRule="auto"/>
      </w:pPr>
      <w:r>
        <w:separator/>
      </w:r>
    </w:p>
  </w:endnote>
  <w:endnote w:type="continuationSeparator" w:id="0">
    <w:p w14:paraId="455A0517" w14:textId="77777777" w:rsidR="00E47738" w:rsidRDefault="00E47738" w:rsidP="001B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23258" w14:textId="77777777" w:rsidR="00104F23" w:rsidRDefault="00104F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68300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515B7B" w14:textId="2725C14D" w:rsidR="00F04E6D" w:rsidRDefault="00F04E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B1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57BBD24" w14:textId="77777777" w:rsidR="00130F49" w:rsidRDefault="00130F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9BB7E" w14:textId="77777777" w:rsidR="00104F23" w:rsidRDefault="00104F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61BF8" w14:textId="77777777" w:rsidR="00E47738" w:rsidRDefault="00E47738" w:rsidP="001B426C">
      <w:pPr>
        <w:spacing w:after="0" w:line="240" w:lineRule="auto"/>
      </w:pPr>
      <w:r>
        <w:separator/>
      </w:r>
    </w:p>
  </w:footnote>
  <w:footnote w:type="continuationSeparator" w:id="0">
    <w:p w14:paraId="2760BBDF" w14:textId="77777777" w:rsidR="00E47738" w:rsidRDefault="00E47738" w:rsidP="001B4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09F32" w14:textId="77777777" w:rsidR="00104F23" w:rsidRDefault="00104F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1354875"/>
      <w:docPartObj>
        <w:docPartGallery w:val="Watermarks"/>
        <w:docPartUnique/>
      </w:docPartObj>
    </w:sdtPr>
    <w:sdtEndPr/>
    <w:sdtContent>
      <w:p w14:paraId="52C117E7" w14:textId="35B9B695" w:rsidR="00104F23" w:rsidRDefault="00E47738">
        <w:pPr>
          <w:pStyle w:val="Header"/>
        </w:pPr>
        <w:r>
          <w:rPr>
            <w:noProof/>
          </w:rPr>
          <w:pict w14:anchorId="3E21DEC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C44FC" w14:textId="4A135219" w:rsidR="00104F23" w:rsidRDefault="00104F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D3B91"/>
    <w:multiLevelType w:val="multilevel"/>
    <w:tmpl w:val="B43C14B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7A6266"/>
    <w:multiLevelType w:val="hybridMultilevel"/>
    <w:tmpl w:val="8CAC333E"/>
    <w:lvl w:ilvl="0" w:tplc="2E7498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13BE9"/>
    <w:multiLevelType w:val="hybridMultilevel"/>
    <w:tmpl w:val="3DEE64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B624F"/>
    <w:multiLevelType w:val="singleLevel"/>
    <w:tmpl w:val="CB2C0140"/>
    <w:name w:val="ListDash2Numbering"/>
    <w:lvl w:ilvl="0">
      <w:start w:val="1"/>
      <w:numFmt w:val="bullet"/>
      <w:pStyle w:val="ListDash2"/>
      <w:lvlText w:val="–"/>
      <w:lvlJc w:val="left"/>
      <w:pPr>
        <w:tabs>
          <w:tab w:val="num" w:pos="1361"/>
        </w:tabs>
        <w:ind w:left="1361" w:hanging="283"/>
      </w:pPr>
      <w:rPr>
        <w:rFonts w:ascii="Times New Roman" w:hAnsi="Times New Roman"/>
      </w:rPr>
    </w:lvl>
  </w:abstractNum>
  <w:abstractNum w:abstractNumId="4" w15:restartNumberingAfterBreak="0">
    <w:nsid w:val="24422104"/>
    <w:multiLevelType w:val="hybridMultilevel"/>
    <w:tmpl w:val="87EAA7E6"/>
    <w:lvl w:ilvl="0" w:tplc="FF982838">
      <w:start w:val="1"/>
      <w:numFmt w:val="bullet"/>
      <w:lvlText w:val="o"/>
      <w:lvlJc w:val="left"/>
      <w:pPr>
        <w:ind w:left="746" w:hanging="360"/>
      </w:pPr>
      <w:rPr>
        <w:rFonts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5" w15:restartNumberingAfterBreak="0">
    <w:nsid w:val="523A2F3F"/>
    <w:multiLevelType w:val="multilevel"/>
    <w:tmpl w:val="A2E243A4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436603"/>
    <w:multiLevelType w:val="multilevel"/>
    <w:tmpl w:val="A09AD310"/>
    <w:numStyleLink w:val="Headings"/>
  </w:abstractNum>
  <w:abstractNum w:abstractNumId="7" w15:restartNumberingAfterBreak="0">
    <w:nsid w:val="562B76A3"/>
    <w:multiLevelType w:val="hybridMultilevel"/>
    <w:tmpl w:val="210C434C"/>
    <w:lvl w:ilvl="0" w:tplc="2E7498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87F5170"/>
    <w:multiLevelType w:val="hybridMultilevel"/>
    <w:tmpl w:val="6374AEA2"/>
    <w:lvl w:ilvl="0" w:tplc="F6E2F19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57F43"/>
    <w:multiLevelType w:val="hybridMultilevel"/>
    <w:tmpl w:val="7C123D98"/>
    <w:lvl w:ilvl="0" w:tplc="741E272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82F40"/>
    <w:multiLevelType w:val="multilevel"/>
    <w:tmpl w:val="2A7E80C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ascii="Trebuchet MS" w:hAnsi="Trebuchet MS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6A337C3"/>
    <w:multiLevelType w:val="hybridMultilevel"/>
    <w:tmpl w:val="C9DEDA5C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3" w15:restartNumberingAfterBreak="0">
    <w:nsid w:val="6BE15541"/>
    <w:multiLevelType w:val="multilevel"/>
    <w:tmpl w:val="2C94AA94"/>
    <w:lvl w:ilvl="0">
      <w:start w:val="1"/>
      <w:numFmt w:val="bullet"/>
      <w:lvlText w:val="o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 w:hint="default"/>
        <w:color w:val="0070C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13"/>
  </w:num>
  <w:num w:numId="6">
    <w:abstractNumId w:val="10"/>
  </w:num>
  <w:num w:numId="7">
    <w:abstractNumId w:val="11"/>
  </w:num>
  <w:num w:numId="8">
    <w:abstractNumId w:val="0"/>
  </w:num>
  <w:num w:numId="9">
    <w:abstractNumId w:val="5"/>
  </w:num>
  <w:num w:numId="10">
    <w:abstractNumId w:val="4"/>
  </w:num>
  <w:num w:numId="11">
    <w:abstractNumId w:val="12"/>
  </w:num>
  <w:num w:numId="12">
    <w:abstractNumId w:val="1"/>
  </w:num>
  <w:num w:numId="13">
    <w:abstractNumId w:val="9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FE8"/>
    <w:rsid w:val="00001632"/>
    <w:rsid w:val="00003FDF"/>
    <w:rsid w:val="000157F5"/>
    <w:rsid w:val="000250A5"/>
    <w:rsid w:val="00025DC2"/>
    <w:rsid w:val="0005178E"/>
    <w:rsid w:val="00064FBB"/>
    <w:rsid w:val="00066320"/>
    <w:rsid w:val="00070F94"/>
    <w:rsid w:val="0007502B"/>
    <w:rsid w:val="00076EC3"/>
    <w:rsid w:val="00081A62"/>
    <w:rsid w:val="00084E0E"/>
    <w:rsid w:val="000915F8"/>
    <w:rsid w:val="00093CB2"/>
    <w:rsid w:val="00096789"/>
    <w:rsid w:val="000971E0"/>
    <w:rsid w:val="000B2E59"/>
    <w:rsid w:val="000B3B2B"/>
    <w:rsid w:val="000B412D"/>
    <w:rsid w:val="000C34D0"/>
    <w:rsid w:val="000E0044"/>
    <w:rsid w:val="000E05DD"/>
    <w:rsid w:val="000E5136"/>
    <w:rsid w:val="000F0415"/>
    <w:rsid w:val="000F5392"/>
    <w:rsid w:val="00104DA4"/>
    <w:rsid w:val="00104F23"/>
    <w:rsid w:val="0010600C"/>
    <w:rsid w:val="0010626A"/>
    <w:rsid w:val="00111861"/>
    <w:rsid w:val="001303F8"/>
    <w:rsid w:val="00130F49"/>
    <w:rsid w:val="0014123C"/>
    <w:rsid w:val="00151A21"/>
    <w:rsid w:val="00151C63"/>
    <w:rsid w:val="001549F6"/>
    <w:rsid w:val="00155873"/>
    <w:rsid w:val="00167CAB"/>
    <w:rsid w:val="00181F37"/>
    <w:rsid w:val="001846EF"/>
    <w:rsid w:val="00190C5A"/>
    <w:rsid w:val="00193918"/>
    <w:rsid w:val="00193F26"/>
    <w:rsid w:val="00194097"/>
    <w:rsid w:val="001A1C01"/>
    <w:rsid w:val="001A28D7"/>
    <w:rsid w:val="001A31E3"/>
    <w:rsid w:val="001B1079"/>
    <w:rsid w:val="001B1D34"/>
    <w:rsid w:val="001B338A"/>
    <w:rsid w:val="001B426C"/>
    <w:rsid w:val="001C5B03"/>
    <w:rsid w:val="001C710F"/>
    <w:rsid w:val="001D43BF"/>
    <w:rsid w:val="001E7F5A"/>
    <w:rsid w:val="00204D60"/>
    <w:rsid w:val="00206D93"/>
    <w:rsid w:val="00214ED9"/>
    <w:rsid w:val="00227AB2"/>
    <w:rsid w:val="00233B5B"/>
    <w:rsid w:val="00234327"/>
    <w:rsid w:val="00242E3C"/>
    <w:rsid w:val="00244054"/>
    <w:rsid w:val="00251B79"/>
    <w:rsid w:val="0028430D"/>
    <w:rsid w:val="00291E28"/>
    <w:rsid w:val="00297F46"/>
    <w:rsid w:val="002A0247"/>
    <w:rsid w:val="002A02D2"/>
    <w:rsid w:val="002A3F9A"/>
    <w:rsid w:val="002B6780"/>
    <w:rsid w:val="002C3E03"/>
    <w:rsid w:val="002E1024"/>
    <w:rsid w:val="002F4ADE"/>
    <w:rsid w:val="0030125A"/>
    <w:rsid w:val="00304D58"/>
    <w:rsid w:val="003056E2"/>
    <w:rsid w:val="0030757A"/>
    <w:rsid w:val="0031104F"/>
    <w:rsid w:val="00312E90"/>
    <w:rsid w:val="00315E32"/>
    <w:rsid w:val="00335A21"/>
    <w:rsid w:val="00343AD4"/>
    <w:rsid w:val="00346936"/>
    <w:rsid w:val="0036519D"/>
    <w:rsid w:val="00366C38"/>
    <w:rsid w:val="00367751"/>
    <w:rsid w:val="00370195"/>
    <w:rsid w:val="00370EAB"/>
    <w:rsid w:val="00371FBE"/>
    <w:rsid w:val="00376FEC"/>
    <w:rsid w:val="00380ED6"/>
    <w:rsid w:val="00387C6A"/>
    <w:rsid w:val="00395AAD"/>
    <w:rsid w:val="003A232F"/>
    <w:rsid w:val="003A3F1F"/>
    <w:rsid w:val="003B212B"/>
    <w:rsid w:val="003B3D4E"/>
    <w:rsid w:val="003C50B6"/>
    <w:rsid w:val="003C60C4"/>
    <w:rsid w:val="003D5031"/>
    <w:rsid w:val="003E2EF7"/>
    <w:rsid w:val="003E639A"/>
    <w:rsid w:val="003E6752"/>
    <w:rsid w:val="00404316"/>
    <w:rsid w:val="004058AA"/>
    <w:rsid w:val="004117B1"/>
    <w:rsid w:val="00412F3E"/>
    <w:rsid w:val="0042073B"/>
    <w:rsid w:val="00422D1C"/>
    <w:rsid w:val="00433314"/>
    <w:rsid w:val="004377E7"/>
    <w:rsid w:val="00437E41"/>
    <w:rsid w:val="00440A7F"/>
    <w:rsid w:val="004432CD"/>
    <w:rsid w:val="0044332F"/>
    <w:rsid w:val="00444746"/>
    <w:rsid w:val="004532BF"/>
    <w:rsid w:val="0049212E"/>
    <w:rsid w:val="00492B0A"/>
    <w:rsid w:val="004936DF"/>
    <w:rsid w:val="004A5288"/>
    <w:rsid w:val="004B011A"/>
    <w:rsid w:val="004B2FC0"/>
    <w:rsid w:val="004B3143"/>
    <w:rsid w:val="004B33AA"/>
    <w:rsid w:val="004C532A"/>
    <w:rsid w:val="004C7E48"/>
    <w:rsid w:val="004D3D1E"/>
    <w:rsid w:val="004E26E2"/>
    <w:rsid w:val="004F0CA5"/>
    <w:rsid w:val="00503BC0"/>
    <w:rsid w:val="0051439F"/>
    <w:rsid w:val="005150B8"/>
    <w:rsid w:val="005234D7"/>
    <w:rsid w:val="005471C9"/>
    <w:rsid w:val="0055555C"/>
    <w:rsid w:val="00556EE6"/>
    <w:rsid w:val="0055774B"/>
    <w:rsid w:val="00564E91"/>
    <w:rsid w:val="005704DA"/>
    <w:rsid w:val="00570EDD"/>
    <w:rsid w:val="00574591"/>
    <w:rsid w:val="00577AD3"/>
    <w:rsid w:val="00580237"/>
    <w:rsid w:val="005811DA"/>
    <w:rsid w:val="00585FE8"/>
    <w:rsid w:val="00593B08"/>
    <w:rsid w:val="00595040"/>
    <w:rsid w:val="005A3F45"/>
    <w:rsid w:val="005D47CC"/>
    <w:rsid w:val="005E46B2"/>
    <w:rsid w:val="005E5F27"/>
    <w:rsid w:val="005E64EA"/>
    <w:rsid w:val="005E7F2C"/>
    <w:rsid w:val="005F0485"/>
    <w:rsid w:val="005F2272"/>
    <w:rsid w:val="005F33CE"/>
    <w:rsid w:val="0062739F"/>
    <w:rsid w:val="00627720"/>
    <w:rsid w:val="00634021"/>
    <w:rsid w:val="00637494"/>
    <w:rsid w:val="00637B07"/>
    <w:rsid w:val="00640726"/>
    <w:rsid w:val="00643F1B"/>
    <w:rsid w:val="0066049E"/>
    <w:rsid w:val="00661C4B"/>
    <w:rsid w:val="00673E72"/>
    <w:rsid w:val="00674973"/>
    <w:rsid w:val="0068060A"/>
    <w:rsid w:val="006907EA"/>
    <w:rsid w:val="0069384D"/>
    <w:rsid w:val="00693EAC"/>
    <w:rsid w:val="00694844"/>
    <w:rsid w:val="00694FB8"/>
    <w:rsid w:val="006A0197"/>
    <w:rsid w:val="006A0EC4"/>
    <w:rsid w:val="006A1E0F"/>
    <w:rsid w:val="006B26FA"/>
    <w:rsid w:val="006C01BE"/>
    <w:rsid w:val="006C3114"/>
    <w:rsid w:val="006D46C1"/>
    <w:rsid w:val="006E20EB"/>
    <w:rsid w:val="006E452B"/>
    <w:rsid w:val="006E63CD"/>
    <w:rsid w:val="006F413F"/>
    <w:rsid w:val="00702594"/>
    <w:rsid w:val="0070499B"/>
    <w:rsid w:val="00705A52"/>
    <w:rsid w:val="007253BA"/>
    <w:rsid w:val="00730000"/>
    <w:rsid w:val="0073225F"/>
    <w:rsid w:val="0073250E"/>
    <w:rsid w:val="0073376A"/>
    <w:rsid w:val="007453F9"/>
    <w:rsid w:val="00747FCD"/>
    <w:rsid w:val="007500CC"/>
    <w:rsid w:val="00753903"/>
    <w:rsid w:val="00755C4E"/>
    <w:rsid w:val="007566BD"/>
    <w:rsid w:val="007574F1"/>
    <w:rsid w:val="00757C2F"/>
    <w:rsid w:val="007644D9"/>
    <w:rsid w:val="0078183B"/>
    <w:rsid w:val="00786DBE"/>
    <w:rsid w:val="0078782A"/>
    <w:rsid w:val="00787E62"/>
    <w:rsid w:val="007A7608"/>
    <w:rsid w:val="007B2D6B"/>
    <w:rsid w:val="007C2CED"/>
    <w:rsid w:val="007C4456"/>
    <w:rsid w:val="007D3900"/>
    <w:rsid w:val="007D3E56"/>
    <w:rsid w:val="007E13A6"/>
    <w:rsid w:val="007F64F1"/>
    <w:rsid w:val="008101EF"/>
    <w:rsid w:val="0081202E"/>
    <w:rsid w:val="0081349C"/>
    <w:rsid w:val="008136F6"/>
    <w:rsid w:val="0082097E"/>
    <w:rsid w:val="00826DAD"/>
    <w:rsid w:val="00832A07"/>
    <w:rsid w:val="00850C45"/>
    <w:rsid w:val="00866E94"/>
    <w:rsid w:val="00887FDE"/>
    <w:rsid w:val="00890B5B"/>
    <w:rsid w:val="0089790E"/>
    <w:rsid w:val="008A0A65"/>
    <w:rsid w:val="008B0657"/>
    <w:rsid w:val="008C01D0"/>
    <w:rsid w:val="008C089C"/>
    <w:rsid w:val="008C16AD"/>
    <w:rsid w:val="008C2AAE"/>
    <w:rsid w:val="008C7B66"/>
    <w:rsid w:val="008E02DD"/>
    <w:rsid w:val="008E1A45"/>
    <w:rsid w:val="00903ED8"/>
    <w:rsid w:val="00905335"/>
    <w:rsid w:val="0091325D"/>
    <w:rsid w:val="00914F27"/>
    <w:rsid w:val="009208F3"/>
    <w:rsid w:val="00927B74"/>
    <w:rsid w:val="00927EC5"/>
    <w:rsid w:val="00937218"/>
    <w:rsid w:val="009441EF"/>
    <w:rsid w:val="009516D4"/>
    <w:rsid w:val="0095214A"/>
    <w:rsid w:val="009550D5"/>
    <w:rsid w:val="00957072"/>
    <w:rsid w:val="00961756"/>
    <w:rsid w:val="00966786"/>
    <w:rsid w:val="00973E1B"/>
    <w:rsid w:val="009744D0"/>
    <w:rsid w:val="00975B74"/>
    <w:rsid w:val="009766A0"/>
    <w:rsid w:val="00985545"/>
    <w:rsid w:val="009856DD"/>
    <w:rsid w:val="009B11F5"/>
    <w:rsid w:val="009C3239"/>
    <w:rsid w:val="009D0752"/>
    <w:rsid w:val="009E3F11"/>
    <w:rsid w:val="009E74AE"/>
    <w:rsid w:val="009F439A"/>
    <w:rsid w:val="009F4798"/>
    <w:rsid w:val="00A1155F"/>
    <w:rsid w:val="00A21DC3"/>
    <w:rsid w:val="00A364A4"/>
    <w:rsid w:val="00A45909"/>
    <w:rsid w:val="00A47FB4"/>
    <w:rsid w:val="00A542B2"/>
    <w:rsid w:val="00A55C8C"/>
    <w:rsid w:val="00A56FBB"/>
    <w:rsid w:val="00A60496"/>
    <w:rsid w:val="00A729CF"/>
    <w:rsid w:val="00A7429A"/>
    <w:rsid w:val="00A83526"/>
    <w:rsid w:val="00A83B43"/>
    <w:rsid w:val="00A84C1F"/>
    <w:rsid w:val="00A84FFE"/>
    <w:rsid w:val="00A90608"/>
    <w:rsid w:val="00A9508F"/>
    <w:rsid w:val="00AA2D22"/>
    <w:rsid w:val="00AA60E3"/>
    <w:rsid w:val="00AB2E99"/>
    <w:rsid w:val="00AB5625"/>
    <w:rsid w:val="00AB5882"/>
    <w:rsid w:val="00AC1C73"/>
    <w:rsid w:val="00AC212F"/>
    <w:rsid w:val="00AC2CA1"/>
    <w:rsid w:val="00AC6617"/>
    <w:rsid w:val="00AD05CA"/>
    <w:rsid w:val="00AD1BA9"/>
    <w:rsid w:val="00AE21BB"/>
    <w:rsid w:val="00AE3515"/>
    <w:rsid w:val="00AE3634"/>
    <w:rsid w:val="00AF5B68"/>
    <w:rsid w:val="00B12068"/>
    <w:rsid w:val="00B142BB"/>
    <w:rsid w:val="00B144A5"/>
    <w:rsid w:val="00B1647C"/>
    <w:rsid w:val="00B2145C"/>
    <w:rsid w:val="00B2211E"/>
    <w:rsid w:val="00B367D4"/>
    <w:rsid w:val="00B36DAA"/>
    <w:rsid w:val="00B4247C"/>
    <w:rsid w:val="00B42CF5"/>
    <w:rsid w:val="00B45FE5"/>
    <w:rsid w:val="00B55AB6"/>
    <w:rsid w:val="00B61EA7"/>
    <w:rsid w:val="00B706CB"/>
    <w:rsid w:val="00B72D6E"/>
    <w:rsid w:val="00B8330F"/>
    <w:rsid w:val="00B84992"/>
    <w:rsid w:val="00B87690"/>
    <w:rsid w:val="00B933E2"/>
    <w:rsid w:val="00B940CC"/>
    <w:rsid w:val="00BA2CE0"/>
    <w:rsid w:val="00BA5ED1"/>
    <w:rsid w:val="00BC0302"/>
    <w:rsid w:val="00BC54A1"/>
    <w:rsid w:val="00BC7E30"/>
    <w:rsid w:val="00BD342B"/>
    <w:rsid w:val="00BD6D0B"/>
    <w:rsid w:val="00BE05E4"/>
    <w:rsid w:val="00BE4F77"/>
    <w:rsid w:val="00BF1977"/>
    <w:rsid w:val="00C0149D"/>
    <w:rsid w:val="00C029CE"/>
    <w:rsid w:val="00C22FBE"/>
    <w:rsid w:val="00C24D11"/>
    <w:rsid w:val="00C311D2"/>
    <w:rsid w:val="00C34043"/>
    <w:rsid w:val="00C420A5"/>
    <w:rsid w:val="00C43120"/>
    <w:rsid w:val="00C50C38"/>
    <w:rsid w:val="00C6568B"/>
    <w:rsid w:val="00C73833"/>
    <w:rsid w:val="00C7630D"/>
    <w:rsid w:val="00C8530D"/>
    <w:rsid w:val="00C8546C"/>
    <w:rsid w:val="00C94E36"/>
    <w:rsid w:val="00C96BA5"/>
    <w:rsid w:val="00CA4B7B"/>
    <w:rsid w:val="00CA79CA"/>
    <w:rsid w:val="00CA7E4A"/>
    <w:rsid w:val="00CB00AF"/>
    <w:rsid w:val="00CC0DA8"/>
    <w:rsid w:val="00CC6DBF"/>
    <w:rsid w:val="00CD65F2"/>
    <w:rsid w:val="00CE323D"/>
    <w:rsid w:val="00CE66CC"/>
    <w:rsid w:val="00CF6EA2"/>
    <w:rsid w:val="00CF7033"/>
    <w:rsid w:val="00D05A0E"/>
    <w:rsid w:val="00D20F73"/>
    <w:rsid w:val="00D25355"/>
    <w:rsid w:val="00D266F5"/>
    <w:rsid w:val="00D271EA"/>
    <w:rsid w:val="00D32A96"/>
    <w:rsid w:val="00D32F9C"/>
    <w:rsid w:val="00D3318D"/>
    <w:rsid w:val="00D33972"/>
    <w:rsid w:val="00D43C5E"/>
    <w:rsid w:val="00D45FE3"/>
    <w:rsid w:val="00D54783"/>
    <w:rsid w:val="00D6061B"/>
    <w:rsid w:val="00D60C71"/>
    <w:rsid w:val="00D63E55"/>
    <w:rsid w:val="00D654B7"/>
    <w:rsid w:val="00D708AE"/>
    <w:rsid w:val="00D73167"/>
    <w:rsid w:val="00D8045E"/>
    <w:rsid w:val="00D93554"/>
    <w:rsid w:val="00D973F7"/>
    <w:rsid w:val="00DA5F91"/>
    <w:rsid w:val="00DB3C56"/>
    <w:rsid w:val="00DB79F0"/>
    <w:rsid w:val="00DC5666"/>
    <w:rsid w:val="00DC72BA"/>
    <w:rsid w:val="00DD33B5"/>
    <w:rsid w:val="00DE09E2"/>
    <w:rsid w:val="00DE6FC5"/>
    <w:rsid w:val="00DF3B1F"/>
    <w:rsid w:val="00DF62FF"/>
    <w:rsid w:val="00E00790"/>
    <w:rsid w:val="00E025DA"/>
    <w:rsid w:val="00E0698C"/>
    <w:rsid w:val="00E06E10"/>
    <w:rsid w:val="00E146C5"/>
    <w:rsid w:val="00E23FE4"/>
    <w:rsid w:val="00E315AE"/>
    <w:rsid w:val="00E336AC"/>
    <w:rsid w:val="00E368BB"/>
    <w:rsid w:val="00E400DB"/>
    <w:rsid w:val="00E47738"/>
    <w:rsid w:val="00E51BC3"/>
    <w:rsid w:val="00E57128"/>
    <w:rsid w:val="00E57A1C"/>
    <w:rsid w:val="00E71B6D"/>
    <w:rsid w:val="00E733F7"/>
    <w:rsid w:val="00E76D9B"/>
    <w:rsid w:val="00E8096D"/>
    <w:rsid w:val="00E849D3"/>
    <w:rsid w:val="00E86D89"/>
    <w:rsid w:val="00EA7DB9"/>
    <w:rsid w:val="00EB06F9"/>
    <w:rsid w:val="00EC3872"/>
    <w:rsid w:val="00EC3938"/>
    <w:rsid w:val="00ED2CFC"/>
    <w:rsid w:val="00ED7E5D"/>
    <w:rsid w:val="00EE1F96"/>
    <w:rsid w:val="00EE73AC"/>
    <w:rsid w:val="00EE7F98"/>
    <w:rsid w:val="00EF1C56"/>
    <w:rsid w:val="00EF395B"/>
    <w:rsid w:val="00F00F29"/>
    <w:rsid w:val="00F03794"/>
    <w:rsid w:val="00F04E6D"/>
    <w:rsid w:val="00F137C5"/>
    <w:rsid w:val="00F13B93"/>
    <w:rsid w:val="00F16E2D"/>
    <w:rsid w:val="00F260AC"/>
    <w:rsid w:val="00F31603"/>
    <w:rsid w:val="00F35FC8"/>
    <w:rsid w:val="00F62742"/>
    <w:rsid w:val="00F80D3F"/>
    <w:rsid w:val="00F810EF"/>
    <w:rsid w:val="00F83B7B"/>
    <w:rsid w:val="00F907F4"/>
    <w:rsid w:val="00F9118A"/>
    <w:rsid w:val="00F958B2"/>
    <w:rsid w:val="00F95EAD"/>
    <w:rsid w:val="00FA1B00"/>
    <w:rsid w:val="00FB4977"/>
    <w:rsid w:val="00FB606D"/>
    <w:rsid w:val="00FB7F78"/>
    <w:rsid w:val="00FD0B60"/>
    <w:rsid w:val="00FD6729"/>
    <w:rsid w:val="00FE2169"/>
    <w:rsid w:val="00FE5E74"/>
    <w:rsid w:val="00FF0171"/>
    <w:rsid w:val="00FF2D9D"/>
    <w:rsid w:val="00FF4FE1"/>
    <w:rsid w:val="00F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C48D164"/>
  <w15:docId w15:val="{E0C52B86-C505-4B68-B597-349243B0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0197"/>
  </w:style>
  <w:style w:type="paragraph" w:styleId="Heading1">
    <w:name w:val="heading 1"/>
    <w:basedOn w:val="Normal"/>
    <w:next w:val="Normal"/>
    <w:link w:val="Heading1Char"/>
    <w:qFormat/>
    <w:rsid w:val="009441EF"/>
    <w:pPr>
      <w:keepNext/>
      <w:numPr>
        <w:numId w:val="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9441EF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9441EF"/>
    <w:pPr>
      <w:numPr>
        <w:ilvl w:val="2"/>
      </w:numPr>
      <w:jc w:val="left"/>
      <w:outlineLvl w:val="2"/>
    </w:pPr>
    <w:rPr>
      <w:color w:val="000000"/>
      <w:sz w:val="22"/>
      <w:szCs w:val="22"/>
    </w:rPr>
  </w:style>
  <w:style w:type="paragraph" w:styleId="Heading4">
    <w:name w:val="heading 4"/>
    <w:basedOn w:val="Heading3"/>
    <w:next w:val="Normal"/>
    <w:link w:val="Heading4Char"/>
    <w:qFormat/>
    <w:rsid w:val="009441EF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9441EF"/>
    <w:pPr>
      <w:numPr>
        <w:ilvl w:val="4"/>
      </w:numPr>
      <w:outlineLvl w:val="4"/>
    </w:pPr>
    <w:rPr>
      <w:rFonts w:ascii="Arial" w:hAnsi="Arial"/>
      <w:b w:val="0"/>
      <w:i w:val="0"/>
      <w:noProof/>
    </w:rPr>
  </w:style>
  <w:style w:type="paragraph" w:styleId="Heading6">
    <w:name w:val="heading 6"/>
    <w:basedOn w:val="Heading5"/>
    <w:next w:val="Normal"/>
    <w:link w:val="Heading6Char"/>
    <w:qFormat/>
    <w:rsid w:val="009441EF"/>
    <w:pPr>
      <w:numPr>
        <w:ilvl w:val="5"/>
      </w:numPr>
      <w:spacing w:after="60"/>
      <w:outlineLvl w:val="5"/>
    </w:pPr>
    <w:rPr>
      <w:b/>
    </w:rPr>
  </w:style>
  <w:style w:type="paragraph" w:styleId="Heading7">
    <w:name w:val="heading 7"/>
    <w:basedOn w:val="Heading6"/>
    <w:next w:val="Normal"/>
    <w:link w:val="Heading7Char"/>
    <w:qFormat/>
    <w:rsid w:val="009441EF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9441EF"/>
    <w:pPr>
      <w:numPr>
        <w:ilvl w:val="7"/>
      </w:numPr>
      <w:outlineLvl w:val="7"/>
    </w:pPr>
    <w:rPr>
      <w:rFonts w:ascii="Calibri" w:hAnsi="Calibri"/>
      <w:b w:val="0"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9441EF"/>
    <w:pPr>
      <w:numPr>
        <w:ilvl w:val="8"/>
      </w:numPr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7"/>
    <w:rsid w:val="00585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Bold">
    <w:name w:val="Body text|2 + Bold"/>
    <w:basedOn w:val="DefaultParagraphFont"/>
    <w:semiHidden/>
    <w:unhideWhenUsed/>
    <w:rsid w:val="00585FE8"/>
    <w:rPr>
      <w:rFonts w:ascii="Arial" w:eastAsia="Arial" w:hAnsi="Arial" w:cs="Arial"/>
      <w:b/>
      <w:color w:val="000000"/>
      <w:position w:val="0"/>
      <w:sz w:val="17"/>
      <w:shd w:val="clear" w:color="auto" w:fill="FFFFFF"/>
    </w:rPr>
  </w:style>
  <w:style w:type="character" w:customStyle="1" w:styleId="Bodytext2">
    <w:name w:val="Body text|2_"/>
    <w:basedOn w:val="DefaultParagraphFont"/>
    <w:link w:val="Bodytext20"/>
    <w:rsid w:val="00DB79F0"/>
    <w:rPr>
      <w:rFonts w:ascii="Arial" w:eastAsia="Arial" w:hAnsi="Arial" w:cs="Arial"/>
      <w:sz w:val="17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DB79F0"/>
    <w:pPr>
      <w:widowControl w:val="0"/>
      <w:shd w:val="clear" w:color="auto" w:fill="FFFFFF"/>
      <w:spacing w:line="190" w:lineRule="exact"/>
      <w:ind w:hanging="480"/>
      <w:jc w:val="both"/>
    </w:pPr>
    <w:rPr>
      <w:rFonts w:ascii="Arial" w:eastAsia="Arial" w:hAnsi="Arial" w:cs="Arial"/>
      <w:sz w:val="17"/>
    </w:rPr>
  </w:style>
  <w:style w:type="paragraph" w:styleId="ListParagraph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,Bullet 1"/>
    <w:basedOn w:val="Normal"/>
    <w:link w:val="ListParagraphChar"/>
    <w:uiPriority w:val="34"/>
    <w:qFormat/>
    <w:rsid w:val="00DB79F0"/>
    <w:pPr>
      <w:ind w:left="720"/>
      <w:contextualSpacing/>
    </w:pPr>
  </w:style>
  <w:style w:type="character" w:customStyle="1" w:styleId="DeltaViewInsertion">
    <w:name w:val="DeltaView Insertion"/>
    <w:uiPriority w:val="99"/>
    <w:rsid w:val="00B84992"/>
    <w:rPr>
      <w:b/>
      <w:i/>
      <w:color w:val="000000"/>
    </w:rPr>
  </w:style>
  <w:style w:type="character" w:customStyle="1" w:styleId="Heading1Char">
    <w:name w:val="Heading 1 Char"/>
    <w:basedOn w:val="DefaultParagraphFont"/>
    <w:link w:val="Heading1"/>
    <w:rsid w:val="009441EF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9441EF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9441EF"/>
    <w:rPr>
      <w:rFonts w:ascii="Times New Roman" w:eastAsia="Times New Roman" w:hAnsi="Times New Roman" w:cs="Times New Roman"/>
      <w:b/>
      <w:color w:val="000000"/>
      <w:lang w:val="fr-BE"/>
    </w:rPr>
  </w:style>
  <w:style w:type="character" w:customStyle="1" w:styleId="Heading4Char">
    <w:name w:val="Heading 4 Char"/>
    <w:basedOn w:val="DefaultParagraphFont"/>
    <w:link w:val="Heading4"/>
    <w:rsid w:val="009441EF"/>
    <w:rPr>
      <w:rFonts w:ascii="Times New Roman" w:eastAsia="Times New Roman" w:hAnsi="Times New Roman" w:cs="Times New Roman"/>
      <w:b/>
      <w:i/>
      <w:color w:val="000000"/>
      <w:lang w:val="fr-BE"/>
    </w:rPr>
  </w:style>
  <w:style w:type="character" w:customStyle="1" w:styleId="Heading5Char">
    <w:name w:val="Heading 5 Char"/>
    <w:basedOn w:val="DefaultParagraphFont"/>
    <w:link w:val="Heading5"/>
    <w:rsid w:val="009441EF"/>
    <w:rPr>
      <w:rFonts w:ascii="Arial" w:eastAsia="Times New Roman" w:hAnsi="Arial" w:cs="Times New Roman"/>
      <w:noProof/>
      <w:color w:val="000000"/>
      <w:lang w:val="fr-BE"/>
    </w:rPr>
  </w:style>
  <w:style w:type="character" w:customStyle="1" w:styleId="Heading6Char">
    <w:name w:val="Heading 6 Char"/>
    <w:basedOn w:val="DefaultParagraphFont"/>
    <w:link w:val="Heading6"/>
    <w:rsid w:val="009441EF"/>
    <w:rPr>
      <w:rFonts w:ascii="Arial" w:eastAsia="Times New Roman" w:hAnsi="Arial" w:cs="Times New Roman"/>
      <w:b/>
      <w:noProof/>
      <w:color w:val="000000"/>
      <w:lang w:val="fr-BE"/>
    </w:rPr>
  </w:style>
  <w:style w:type="character" w:customStyle="1" w:styleId="Heading7Char">
    <w:name w:val="Heading 7 Char"/>
    <w:basedOn w:val="DefaultParagraphFont"/>
    <w:link w:val="Heading7"/>
    <w:rsid w:val="009441EF"/>
    <w:rPr>
      <w:rFonts w:ascii="Arial" w:eastAsia="Times New Roman" w:hAnsi="Arial" w:cs="Times New Roman"/>
      <w:b/>
      <w:i/>
      <w:noProof/>
      <w:color w:val="000000"/>
      <w:lang w:val="fr-BE"/>
    </w:rPr>
  </w:style>
  <w:style w:type="character" w:customStyle="1" w:styleId="Heading8Char">
    <w:name w:val="Heading 8 Char"/>
    <w:basedOn w:val="DefaultParagraphFont"/>
    <w:link w:val="Heading8"/>
    <w:rsid w:val="009441EF"/>
    <w:rPr>
      <w:rFonts w:ascii="Calibri" w:eastAsia="Times New Roman" w:hAnsi="Calibri" w:cs="Times New Roman"/>
      <w:noProof/>
      <w:color w:val="000000"/>
      <w:sz w:val="24"/>
      <w:lang w:val="fr-BE"/>
    </w:rPr>
  </w:style>
  <w:style w:type="character" w:customStyle="1" w:styleId="Heading9Char">
    <w:name w:val="Heading 9 Char"/>
    <w:basedOn w:val="DefaultParagraphFont"/>
    <w:link w:val="Heading9"/>
    <w:rsid w:val="009441EF"/>
    <w:rPr>
      <w:rFonts w:ascii="Calibri" w:eastAsia="Times New Roman" w:hAnsi="Calibri" w:cs="Times New Roman"/>
      <w:b/>
      <w:noProof/>
      <w:color w:val="000000"/>
      <w:sz w:val="24"/>
      <w:lang w:val="fr-BE"/>
    </w:rPr>
  </w:style>
  <w:style w:type="numbering" w:customStyle="1" w:styleId="Headings">
    <w:name w:val="Headings"/>
    <w:uiPriority w:val="99"/>
    <w:rsid w:val="009441EF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83B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42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426C"/>
    <w:rPr>
      <w:sz w:val="20"/>
      <w:szCs w:val="20"/>
    </w:rPr>
  </w:style>
  <w:style w:type="paragraph" w:customStyle="1" w:styleId="ListDash2">
    <w:name w:val="List Dash 2"/>
    <w:basedOn w:val="Normal"/>
    <w:rsid w:val="001B426C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37"/>
    <w:rsid w:val="001B426C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rsid w:val="001B426C"/>
    <w:rPr>
      <w:w w:val="100"/>
      <w:sz w:val="20"/>
      <w:szCs w:val="20"/>
      <w:shd w:val="clear" w:color="auto" w:fill="auto"/>
      <w:vertAlign w:val="superscript"/>
    </w:rPr>
  </w:style>
  <w:style w:type="character" w:customStyle="1" w:styleId="ListParagraphChar">
    <w:name w:val="List Paragraph Char"/>
    <w:aliases w:val="List Paragraph1 Char,Recommendation Char,List Paragraph11 Char,L Char,CV text Char,Table text Char,List Paragraph2 Char,F5 List Paragraph Char,Dot pt Char,List Paragraph111 Char,Medium Grid 1 - Accent 21 Char,Numbered Paragraph Char"/>
    <w:link w:val="ListParagraph"/>
    <w:uiPriority w:val="34"/>
    <w:qFormat/>
    <w:rsid w:val="006C3114"/>
  </w:style>
  <w:style w:type="paragraph" w:customStyle="1" w:styleId="Text3">
    <w:name w:val="Text 3"/>
    <w:basedOn w:val="Normal"/>
    <w:qFormat/>
    <w:rsid w:val="00757C2F"/>
    <w:pPr>
      <w:spacing w:after="240" w:line="240" w:lineRule="auto"/>
      <w:ind w:left="1916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57C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7C2F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7C2F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4F1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4F1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4">
    <w:name w:val="Text 4"/>
    <w:basedOn w:val="Normal"/>
    <w:qFormat/>
    <w:rsid w:val="00B55AB6"/>
    <w:pPr>
      <w:spacing w:after="240" w:line="240" w:lineRule="auto"/>
      <w:ind w:left="288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Guidelines">
    <w:name w:val="Guidelines"/>
    <w:basedOn w:val="Normal"/>
    <w:link w:val="GuidelinesChar"/>
    <w:rsid w:val="00C22FB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spacing w:after="240" w:line="240" w:lineRule="auto"/>
      <w:jc w:val="both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character" w:customStyle="1" w:styleId="GuidelinesChar">
    <w:name w:val="Guidelines Char"/>
    <w:link w:val="Guidelines"/>
    <w:rsid w:val="00C22FBE"/>
    <w:rPr>
      <w:rFonts w:ascii="Times New Roman" w:eastAsia="Times New Roman" w:hAnsi="Times New Roman" w:cs="Times New Roman"/>
      <w:color w:val="4F81BD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0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73B"/>
  </w:style>
  <w:style w:type="paragraph" w:styleId="Footer">
    <w:name w:val="footer"/>
    <w:basedOn w:val="Normal"/>
    <w:link w:val="FooterChar"/>
    <w:uiPriority w:val="99"/>
    <w:unhideWhenUsed/>
    <w:rsid w:val="00420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0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3170A-55AB-41AC-8612-25B3F4C2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Camelia Iliescu</dc:creator>
  <cp:lastModifiedBy>Adela Stefan</cp:lastModifiedBy>
  <cp:revision>3</cp:revision>
  <cp:lastPrinted>2021-11-17T17:04:00Z</cp:lastPrinted>
  <dcterms:created xsi:type="dcterms:W3CDTF">2022-02-10T08:37:00Z</dcterms:created>
  <dcterms:modified xsi:type="dcterms:W3CDTF">2022-02-10T08:39:00Z</dcterms:modified>
</cp:coreProperties>
</file>